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1F" w:rsidRDefault="00544DEA">
      <w:r w:rsidRPr="00544DEA">
        <w:rPr>
          <w:noProof/>
          <w:lang w:eastAsia="es-AR"/>
        </w:rPr>
        <w:drawing>
          <wp:inline distT="0" distB="0" distL="0" distR="0">
            <wp:extent cx="5612130" cy="26321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25" w:rsidRDefault="00BB7F8A">
      <w:r>
        <w:t>Traducció</w:t>
      </w:r>
      <w:r w:rsidR="00132622">
        <w:t>n de figura publicado en</w:t>
      </w:r>
      <w:r w:rsidR="00274D02">
        <w:t xml:space="preserve">: </w:t>
      </w:r>
    </w:p>
    <w:p w:rsidR="00320425" w:rsidRDefault="00320425"/>
    <w:p w:rsidR="00320425" w:rsidRPr="00320425" w:rsidRDefault="00320425" w:rsidP="00320425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320425">
        <w:t>1.</w:t>
      </w:r>
      <w:r w:rsidRPr="00320425">
        <w:tab/>
        <w:t>Sulmasy DP. A biopsychosocial-spiritual model for the care of patients at the end of life. The gerontologist. 2002;42(suppl 3):24-33.</w:t>
      </w:r>
    </w:p>
    <w:p w:rsidR="00320425" w:rsidRDefault="00320425">
      <w:r>
        <w:fldChar w:fldCharType="end"/>
      </w:r>
    </w:p>
    <w:sectPr w:rsidR="00320425" w:rsidSect="00210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f0ez0f9325p5meeawxp5zdfzd0r9tw2p22a&quot;&gt;My EndNote Library&lt;record-ids&gt;&lt;item&gt;3231&lt;/item&gt;&lt;/record-ids&gt;&lt;/item&gt;&lt;/Libraries&gt;"/>
  </w:docVars>
  <w:rsids>
    <w:rsidRoot w:val="00544DEA"/>
    <w:rsid w:val="00132622"/>
    <w:rsid w:val="0021051F"/>
    <w:rsid w:val="00274D02"/>
    <w:rsid w:val="00320425"/>
    <w:rsid w:val="00544DEA"/>
    <w:rsid w:val="00720A64"/>
    <w:rsid w:val="00945330"/>
    <w:rsid w:val="00BB7F8A"/>
    <w:rsid w:val="00FC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1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DE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ar"/>
    <w:rsid w:val="0032042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320425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20425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320425"/>
    <w:rPr>
      <w:rFonts w:ascii="Calibri" w:hAnsi="Calibri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2016-09-11T21:54:00Z</dcterms:created>
  <dcterms:modified xsi:type="dcterms:W3CDTF">2016-09-19T19:57:00Z</dcterms:modified>
</cp:coreProperties>
</file>