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941"/>
        <w:tblW w:w="7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AB4E8D" w:rsidRPr="00C0327A" w:rsidTr="00AB4E8D">
        <w:trPr>
          <w:trHeight w:val="340"/>
        </w:trPr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E8D" w:rsidRPr="00C0327A" w:rsidRDefault="00AB4E8D" w:rsidP="00AB4E8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</w:pPr>
          </w:p>
        </w:tc>
      </w:tr>
      <w:tr w:rsidR="00AB4E8D" w:rsidRPr="00C0327A" w:rsidTr="00AB4E8D">
        <w:trPr>
          <w:trHeight w:val="340"/>
        </w:trPr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E8D" w:rsidRPr="00C0327A" w:rsidRDefault="00AB4E8D" w:rsidP="00AB4E8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</w:pPr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>Representa cerca del 40% de los casos.</w:t>
            </w:r>
          </w:p>
        </w:tc>
      </w:tr>
      <w:tr w:rsidR="00AB4E8D" w:rsidRPr="00C0327A" w:rsidTr="00AB4E8D">
        <w:trPr>
          <w:trHeight w:val="340"/>
        </w:trPr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E8D" w:rsidRPr="00C0327A" w:rsidRDefault="00AB4E8D" w:rsidP="00AB4E8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</w:pPr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>Usualmente pacientes mujeres, jóvenes.</w:t>
            </w:r>
          </w:p>
        </w:tc>
      </w:tr>
      <w:tr w:rsidR="00AB4E8D" w:rsidRPr="00C0327A" w:rsidTr="00AB4E8D">
        <w:trPr>
          <w:trHeight w:val="340"/>
        </w:trPr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E8D" w:rsidRPr="00C0327A" w:rsidRDefault="00AB4E8D" w:rsidP="00AB4E8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</w:pPr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 xml:space="preserve">75% con historia de ATB en las </w:t>
            </w:r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>últimas</w:t>
            </w:r>
            <w:bookmarkStart w:id="0" w:name="_GoBack"/>
            <w:bookmarkEnd w:id="0"/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 xml:space="preserve"> 12 semanas.</w:t>
            </w:r>
          </w:p>
        </w:tc>
      </w:tr>
      <w:tr w:rsidR="00AB4E8D" w:rsidRPr="00C0327A" w:rsidTr="00AB4E8D">
        <w:trPr>
          <w:trHeight w:val="340"/>
        </w:trPr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E8D" w:rsidRPr="00C0327A" w:rsidRDefault="00AB4E8D" w:rsidP="00AB4E8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</w:pPr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>0,4 a 3% puede se complica con un megacolon tóxico.</w:t>
            </w:r>
          </w:p>
        </w:tc>
      </w:tr>
      <w:tr w:rsidR="00AB4E8D" w:rsidRPr="00C0327A" w:rsidTr="00AB4E8D">
        <w:trPr>
          <w:trHeight w:val="340"/>
        </w:trPr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4E8D" w:rsidRPr="00C0327A" w:rsidRDefault="00AB4E8D" w:rsidP="00AB4E8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</w:pPr>
            <w:r w:rsidRPr="00C0327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s-AR"/>
              </w:rPr>
              <w:t>Evolución a megacolon toxico: 50% de mortalidad</w:t>
            </w:r>
          </w:p>
        </w:tc>
      </w:tr>
    </w:tbl>
    <w:p w:rsidR="002D3090" w:rsidRPr="00C0327A" w:rsidRDefault="00AB4E8D" w:rsidP="00C03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TABLA 1-Caracteristicas </w:t>
      </w:r>
      <w:r w:rsidR="00C0327A" w:rsidRPr="00C0327A">
        <w:rPr>
          <w:rFonts w:ascii="Arial" w:hAnsi="Arial" w:cs="Arial"/>
          <w:b/>
          <w:sz w:val="24"/>
          <w:szCs w:val="24"/>
        </w:rPr>
        <w:t>Infecciones</w:t>
      </w:r>
      <w:r>
        <w:rPr>
          <w:rFonts w:ascii="Arial" w:hAnsi="Arial" w:cs="Arial"/>
          <w:b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b/>
          <w:sz w:val="24"/>
          <w:szCs w:val="24"/>
        </w:rPr>
        <w:t>Clostridium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adquiridas</w:t>
      </w:r>
      <w:r w:rsidR="00C0327A" w:rsidRPr="00C0327A">
        <w:rPr>
          <w:rFonts w:ascii="Arial" w:hAnsi="Arial" w:cs="Arial"/>
          <w:b/>
          <w:sz w:val="24"/>
          <w:szCs w:val="24"/>
        </w:rPr>
        <w:t xml:space="preserve"> en la Comunidad</w:t>
      </w:r>
      <w:r>
        <w:rPr>
          <w:rFonts w:ascii="Arial" w:hAnsi="Arial" w:cs="Arial"/>
          <w:b/>
          <w:sz w:val="24"/>
          <w:szCs w:val="24"/>
        </w:rPr>
        <w:t>.</w:t>
      </w:r>
    </w:p>
    <w:sectPr w:rsidR="002D3090" w:rsidRPr="00C03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7A"/>
    <w:rsid w:val="00600C50"/>
    <w:rsid w:val="00AB4E8D"/>
    <w:rsid w:val="00C0327A"/>
    <w:rsid w:val="00D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Rizzo</dc:creator>
  <cp:lastModifiedBy>Medico de Tiuc Puesto 4</cp:lastModifiedBy>
  <cp:revision>2</cp:revision>
  <dcterms:created xsi:type="dcterms:W3CDTF">2017-02-25T20:13:00Z</dcterms:created>
  <dcterms:modified xsi:type="dcterms:W3CDTF">2017-03-03T12:33:00Z</dcterms:modified>
</cp:coreProperties>
</file>