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E7" w:rsidRDefault="00F57981">
      <w:r w:rsidRPr="00C139F7">
        <w:rPr>
          <w:rFonts w:ascii="Arial" w:hAnsi="Arial" w:cs="Arial"/>
          <w:b/>
        </w:rPr>
        <w:t>Tabla 3.</w:t>
      </w:r>
      <w:r>
        <w:rPr>
          <w:rFonts w:ascii="Arial" w:hAnsi="Arial" w:cs="Arial"/>
          <w:color w:val="000000"/>
          <w:lang w:eastAsia="es-AR"/>
        </w:rPr>
        <w:t xml:space="preserve"> Áreas bajo la c</w:t>
      </w:r>
      <w:r w:rsidRPr="00EF52F6">
        <w:rPr>
          <w:rFonts w:ascii="Arial" w:hAnsi="Arial" w:cs="Arial"/>
          <w:color w:val="000000"/>
          <w:lang w:eastAsia="es-AR"/>
        </w:rPr>
        <w:t>u</w:t>
      </w:r>
      <w:r>
        <w:rPr>
          <w:rFonts w:ascii="Arial" w:hAnsi="Arial" w:cs="Arial"/>
          <w:color w:val="000000"/>
          <w:lang w:eastAsia="es-AR"/>
        </w:rPr>
        <w:t>rva con sus respectivos intervalos de confianza</w:t>
      </w:r>
    </w:p>
    <w:p w:rsidR="00F57981" w:rsidRDefault="00F57981"/>
    <w:tbl>
      <w:tblPr>
        <w:tblW w:w="87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1428"/>
        <w:gridCol w:w="851"/>
        <w:gridCol w:w="1276"/>
        <w:gridCol w:w="1842"/>
        <w:gridCol w:w="1276"/>
        <w:gridCol w:w="1276"/>
      </w:tblGrid>
      <w:tr w:rsidR="00F57981" w:rsidRPr="00EF52F6" w:rsidTr="00D271FE">
        <w:trPr>
          <w:cantSplit/>
          <w:trHeight w:val="286"/>
          <w:tblHeader/>
        </w:trPr>
        <w:tc>
          <w:tcPr>
            <w:tcW w:w="8789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Arial" w:hAnsi="Arial" w:cs="Arial"/>
                <w:color w:val="000000"/>
                <w:lang w:eastAsia="es-AR"/>
              </w:rPr>
            </w:pPr>
            <w:r w:rsidRPr="00EF52F6">
              <w:rPr>
                <w:rFonts w:ascii="Arial" w:hAnsi="Arial" w:cs="Arial"/>
                <w:b/>
                <w:bCs/>
                <w:color w:val="000000"/>
                <w:lang w:eastAsia="es-AR"/>
              </w:rPr>
              <w:t>Área bajo la curva</w:t>
            </w:r>
            <w:r>
              <w:rPr>
                <w:rFonts w:ascii="Arial" w:hAnsi="Arial" w:cs="Arial"/>
                <w:b/>
                <w:bCs/>
                <w:color w:val="000000"/>
                <w:lang w:eastAsia="es-AR"/>
              </w:rPr>
              <w:t xml:space="preserve"> (AUC)</w:t>
            </w:r>
          </w:p>
        </w:tc>
      </w:tr>
      <w:tr w:rsidR="00F57981" w:rsidRPr="009B071F" w:rsidTr="00D271FE">
        <w:trPr>
          <w:cantSplit/>
          <w:trHeight w:val="585"/>
          <w:tblHeader/>
        </w:trPr>
        <w:tc>
          <w:tcPr>
            <w:tcW w:w="226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6" w:space="0" w:color="000000"/>
              <w:right w:val="single" w:sz="16" w:space="0" w:color="000000"/>
            </w:tcBorders>
            <w:shd w:val="clear" w:color="auto" w:fill="BFBFBF" w:themeFill="background1" w:themeFillShade="BF"/>
          </w:tcPr>
          <w:p w:rsidR="00F57981" w:rsidRDefault="00F57981" w:rsidP="00D271F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</w:p>
          <w:p w:rsidR="00F57981" w:rsidRPr="009B071F" w:rsidRDefault="00F57981" w:rsidP="00D271F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 xml:space="preserve">Variables </w:t>
            </w:r>
            <w:r>
              <w:rPr>
                <w:rFonts w:ascii="Arial" w:hAnsi="Arial" w:cs="Arial"/>
                <w:b/>
                <w:color w:val="000000"/>
                <w:lang w:eastAsia="es-AR"/>
              </w:rPr>
              <w:t xml:space="preserve">de </w:t>
            </w: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resultado de contraste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</w:tcBorders>
            <w:shd w:val="clear" w:color="auto" w:fill="BFBFBF" w:themeFill="background1" w:themeFillShade="BF"/>
            <w:vAlign w:val="center"/>
          </w:tcPr>
          <w:p w:rsidR="00F57981" w:rsidRPr="009B071F" w:rsidRDefault="00F57981" w:rsidP="00D271F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Área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bottom w:val="single" w:sz="16" w:space="0" w:color="000000"/>
            </w:tcBorders>
            <w:shd w:val="clear" w:color="auto" w:fill="BFBFBF" w:themeFill="background1" w:themeFillShade="BF"/>
            <w:vAlign w:val="center"/>
          </w:tcPr>
          <w:p w:rsidR="00F57981" w:rsidRDefault="00F57981" w:rsidP="00D271F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>
              <w:rPr>
                <w:rFonts w:ascii="Arial" w:hAnsi="Arial" w:cs="Arial"/>
                <w:b/>
                <w:color w:val="000000"/>
                <w:lang w:eastAsia="es-AR"/>
              </w:rPr>
              <w:t>Error</w:t>
            </w:r>
          </w:p>
          <w:p w:rsidR="00F57981" w:rsidRPr="009B071F" w:rsidRDefault="00F57981" w:rsidP="00D271F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lang w:eastAsia="es-AR"/>
              </w:rPr>
              <w:t>estándar</w:t>
            </w:r>
            <w:r w:rsidRPr="009B071F">
              <w:rPr>
                <w:rFonts w:ascii="Arial" w:hAnsi="Arial" w:cs="Arial"/>
                <w:b/>
                <w:color w:val="000000"/>
                <w:vertAlign w:val="superscript"/>
                <w:lang w:eastAsia="es-AR"/>
              </w:rPr>
              <w:t>a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18" w:space="0" w:color="000000"/>
              <w:bottom w:val="single" w:sz="16" w:space="0" w:color="000000"/>
            </w:tcBorders>
            <w:shd w:val="clear" w:color="auto" w:fill="BFBFBF" w:themeFill="background1" w:themeFillShade="BF"/>
            <w:vAlign w:val="center"/>
          </w:tcPr>
          <w:p w:rsidR="00F57981" w:rsidRPr="009B071F" w:rsidRDefault="00F57981" w:rsidP="00D271F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 xml:space="preserve">Sig. </w:t>
            </w:r>
            <w:proofErr w:type="spellStart"/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asintótica</w:t>
            </w:r>
            <w:r w:rsidRPr="009B071F">
              <w:rPr>
                <w:rFonts w:ascii="Arial" w:hAnsi="Arial" w:cs="Arial"/>
                <w:b/>
                <w:color w:val="000000"/>
                <w:vertAlign w:val="superscript"/>
                <w:lang w:eastAsia="es-AR"/>
              </w:rPr>
              <w:t>b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bottom"/>
          </w:tcPr>
          <w:p w:rsidR="00F57981" w:rsidRPr="009B071F" w:rsidRDefault="00F57981" w:rsidP="00D271F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Intervalo de confianza asintótico al 95%</w:t>
            </w:r>
          </w:p>
        </w:tc>
      </w:tr>
      <w:tr w:rsidR="00F57981" w:rsidRPr="009B071F" w:rsidTr="00D271FE">
        <w:trPr>
          <w:cantSplit/>
          <w:trHeight w:val="131"/>
          <w:tblHeader/>
        </w:trPr>
        <w:tc>
          <w:tcPr>
            <w:tcW w:w="2268" w:type="dxa"/>
            <w:gridSpan w:val="2"/>
            <w:vMerge/>
            <w:tcBorders>
              <w:top w:val="single" w:sz="16" w:space="0" w:color="000000"/>
              <w:left w:val="single" w:sz="18" w:space="0" w:color="000000"/>
              <w:bottom w:val="single" w:sz="18" w:space="0" w:color="000000"/>
              <w:right w:val="single" w:sz="16" w:space="0" w:color="000000"/>
            </w:tcBorders>
            <w:shd w:val="clear" w:color="auto" w:fill="BFBFBF" w:themeFill="background1" w:themeFillShade="BF"/>
          </w:tcPr>
          <w:p w:rsidR="00F57981" w:rsidRPr="009B071F" w:rsidRDefault="00F57981" w:rsidP="00D27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single" w:sz="18" w:space="0" w:color="000000"/>
            </w:tcBorders>
            <w:shd w:val="clear" w:color="auto" w:fill="BFBFBF" w:themeFill="background1" w:themeFillShade="BF"/>
            <w:vAlign w:val="bottom"/>
          </w:tcPr>
          <w:p w:rsidR="00F57981" w:rsidRPr="009B071F" w:rsidRDefault="00F57981" w:rsidP="00D27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</w:p>
        </w:tc>
        <w:tc>
          <w:tcPr>
            <w:tcW w:w="1276" w:type="dxa"/>
            <w:vMerge/>
            <w:tcBorders>
              <w:top w:val="single" w:sz="16" w:space="0" w:color="000000"/>
              <w:bottom w:val="single" w:sz="18" w:space="0" w:color="000000"/>
            </w:tcBorders>
            <w:shd w:val="clear" w:color="auto" w:fill="BFBFBF" w:themeFill="background1" w:themeFillShade="BF"/>
            <w:vAlign w:val="bottom"/>
          </w:tcPr>
          <w:p w:rsidR="00F57981" w:rsidRPr="009B071F" w:rsidRDefault="00F57981" w:rsidP="00D27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</w:p>
        </w:tc>
        <w:tc>
          <w:tcPr>
            <w:tcW w:w="1842" w:type="dxa"/>
            <w:vMerge/>
            <w:tcBorders>
              <w:top w:val="single" w:sz="16" w:space="0" w:color="000000"/>
              <w:bottom w:val="single" w:sz="18" w:space="0" w:color="000000"/>
            </w:tcBorders>
            <w:shd w:val="clear" w:color="auto" w:fill="BFBFBF" w:themeFill="background1" w:themeFillShade="BF"/>
            <w:vAlign w:val="bottom"/>
          </w:tcPr>
          <w:p w:rsidR="00F57981" w:rsidRPr="009B071F" w:rsidRDefault="00F57981" w:rsidP="00D27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BFBFBF" w:themeFill="background1" w:themeFillShade="BF"/>
            <w:vAlign w:val="bottom"/>
          </w:tcPr>
          <w:p w:rsidR="00F57981" w:rsidRPr="009B071F" w:rsidRDefault="00F57981" w:rsidP="00D271F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Límite inferior</w:t>
            </w:r>
          </w:p>
        </w:tc>
        <w:tc>
          <w:tcPr>
            <w:tcW w:w="1276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bottom"/>
          </w:tcPr>
          <w:p w:rsidR="00F57981" w:rsidRPr="009B071F" w:rsidRDefault="00F57981" w:rsidP="00D271F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color w:val="000000"/>
                <w:lang w:eastAsia="es-AR"/>
              </w:rPr>
            </w:pPr>
            <w:r w:rsidRPr="009B071F">
              <w:rPr>
                <w:rFonts w:ascii="Arial" w:hAnsi="Arial" w:cs="Arial"/>
                <w:b/>
                <w:color w:val="000000"/>
                <w:lang w:eastAsia="es-AR"/>
              </w:rPr>
              <w:t>Límite superior</w:t>
            </w:r>
          </w:p>
        </w:tc>
      </w:tr>
      <w:tr w:rsidR="00F57981" w:rsidRPr="00EF52F6" w:rsidTr="00D271FE">
        <w:trPr>
          <w:cantSplit/>
          <w:trHeight w:val="286"/>
          <w:tblHeader/>
        </w:trPr>
        <w:tc>
          <w:tcPr>
            <w:tcW w:w="840" w:type="dxa"/>
            <w:vMerge w:val="restart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lang w:eastAsia="es-AR"/>
              </w:rPr>
            </w:pPr>
          </w:p>
        </w:tc>
        <w:tc>
          <w:tcPr>
            <w:tcW w:w="1428" w:type="dxa"/>
            <w:tcBorders>
              <w:top w:val="single" w:sz="18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right="60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PM APACHE</w:t>
            </w:r>
            <w:r w:rsidRPr="00991825">
              <w:rPr>
                <w:rFonts w:ascii="Arial" w:hAnsi="Arial" w:cs="Arial"/>
                <w:color w:val="000000"/>
                <w:vertAlign w:val="superscript"/>
                <w:lang w:eastAsia="es-AR"/>
              </w:rPr>
              <w:t>*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  <w:r w:rsidRPr="00EF52F6">
              <w:rPr>
                <w:rFonts w:ascii="Arial" w:hAnsi="Arial" w:cs="Arial"/>
                <w:color w:val="000000"/>
                <w:lang w:eastAsia="es-AR"/>
              </w:rPr>
              <w:t>,830</w:t>
            </w:r>
          </w:p>
        </w:tc>
        <w:tc>
          <w:tcPr>
            <w:tcW w:w="1276" w:type="dxa"/>
            <w:tcBorders>
              <w:top w:val="single" w:sz="18" w:space="0" w:color="000000"/>
              <w:bottom w:val="nil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  <w:r w:rsidRPr="00EF52F6">
              <w:rPr>
                <w:rFonts w:ascii="Arial" w:hAnsi="Arial" w:cs="Arial"/>
                <w:color w:val="000000"/>
                <w:lang w:eastAsia="es-AR"/>
              </w:rPr>
              <w:t>,010</w:t>
            </w:r>
          </w:p>
        </w:tc>
        <w:tc>
          <w:tcPr>
            <w:tcW w:w="1842" w:type="dxa"/>
            <w:tcBorders>
              <w:top w:val="single" w:sz="18" w:space="0" w:color="000000"/>
              <w:bottom w:val="nil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  <w:r w:rsidRPr="00EF52F6">
              <w:rPr>
                <w:rFonts w:ascii="Arial" w:hAnsi="Arial" w:cs="Arial"/>
                <w:color w:val="000000"/>
                <w:lang w:eastAsia="es-AR"/>
              </w:rPr>
              <w:t>,000</w:t>
            </w:r>
          </w:p>
        </w:tc>
        <w:tc>
          <w:tcPr>
            <w:tcW w:w="1276" w:type="dxa"/>
            <w:tcBorders>
              <w:top w:val="single" w:sz="18" w:space="0" w:color="000000"/>
              <w:bottom w:val="nil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  <w:r w:rsidRPr="00EF52F6">
              <w:rPr>
                <w:rFonts w:ascii="Arial" w:hAnsi="Arial" w:cs="Arial"/>
                <w:color w:val="000000"/>
                <w:lang w:eastAsia="es-AR"/>
              </w:rPr>
              <w:t>,811</w:t>
            </w:r>
          </w:p>
        </w:tc>
        <w:tc>
          <w:tcPr>
            <w:tcW w:w="1276" w:type="dxa"/>
            <w:tcBorders>
              <w:top w:val="single" w:sz="18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  <w:r w:rsidRPr="00EF52F6">
              <w:rPr>
                <w:rFonts w:ascii="Arial" w:hAnsi="Arial" w:cs="Arial"/>
                <w:color w:val="000000"/>
                <w:lang w:eastAsia="es-AR"/>
              </w:rPr>
              <w:t>,849</w:t>
            </w:r>
          </w:p>
        </w:tc>
      </w:tr>
      <w:tr w:rsidR="00F57981" w:rsidRPr="00EF52F6" w:rsidTr="00D271FE">
        <w:trPr>
          <w:cantSplit/>
          <w:trHeight w:val="131"/>
          <w:tblHeader/>
        </w:trPr>
        <w:tc>
          <w:tcPr>
            <w:tcW w:w="8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s-A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PM SAPS</w:t>
            </w:r>
            <w:r w:rsidRPr="00991825">
              <w:rPr>
                <w:rFonts w:ascii="Arial" w:hAnsi="Arial" w:cs="Arial"/>
                <w:color w:val="000000"/>
                <w:vertAlign w:val="superscript"/>
                <w:lang w:eastAsia="es-AR"/>
              </w:rPr>
              <w:t>**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  <w:r w:rsidRPr="00EF52F6">
              <w:rPr>
                <w:rFonts w:ascii="Arial" w:hAnsi="Arial" w:cs="Arial"/>
                <w:color w:val="000000"/>
                <w:lang w:eastAsia="es-AR"/>
              </w:rPr>
              <w:t>,836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  <w:r w:rsidRPr="00EF52F6">
              <w:rPr>
                <w:rFonts w:ascii="Arial" w:hAnsi="Arial" w:cs="Arial"/>
                <w:color w:val="000000"/>
                <w:lang w:eastAsia="es-AR"/>
              </w:rPr>
              <w:t>,009</w:t>
            </w:r>
          </w:p>
        </w:tc>
        <w:tc>
          <w:tcPr>
            <w:tcW w:w="18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  <w:r w:rsidRPr="00EF52F6">
              <w:rPr>
                <w:rFonts w:ascii="Arial" w:hAnsi="Arial" w:cs="Arial"/>
                <w:color w:val="000000"/>
                <w:lang w:eastAsia="es-AR"/>
              </w:rPr>
              <w:t>,000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  <w:r w:rsidRPr="00EF52F6">
              <w:rPr>
                <w:rFonts w:ascii="Arial" w:hAnsi="Arial" w:cs="Arial"/>
                <w:color w:val="000000"/>
                <w:lang w:eastAsia="es-AR"/>
              </w:rPr>
              <w:t>,818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right"/>
              <w:rPr>
                <w:rFonts w:ascii="Arial" w:hAnsi="Arial" w:cs="Arial"/>
                <w:color w:val="000000"/>
                <w:lang w:eastAsia="es-AR"/>
              </w:rPr>
            </w:pPr>
            <w:r>
              <w:rPr>
                <w:rFonts w:ascii="Arial" w:hAnsi="Arial" w:cs="Arial"/>
                <w:color w:val="000000"/>
                <w:lang w:eastAsia="es-AR"/>
              </w:rPr>
              <w:t>0</w:t>
            </w:r>
            <w:r w:rsidRPr="00EF52F6">
              <w:rPr>
                <w:rFonts w:ascii="Arial" w:hAnsi="Arial" w:cs="Arial"/>
                <w:color w:val="000000"/>
                <w:lang w:eastAsia="es-AR"/>
              </w:rPr>
              <w:t>,854</w:t>
            </w:r>
          </w:p>
        </w:tc>
      </w:tr>
      <w:tr w:rsidR="00F57981" w:rsidRPr="00EF52F6" w:rsidTr="00D271FE">
        <w:trPr>
          <w:cantSplit/>
          <w:trHeight w:val="299"/>
          <w:tblHeader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Arial" w:hAnsi="Arial" w:cs="Arial"/>
                <w:color w:val="000000"/>
                <w:lang w:eastAsia="es-AR"/>
              </w:rPr>
            </w:pPr>
            <w:proofErr w:type="spellStart"/>
            <w:proofErr w:type="gramStart"/>
            <w:r w:rsidRPr="00991825">
              <w:rPr>
                <w:rFonts w:ascii="Arial" w:hAnsi="Arial" w:cs="Arial"/>
                <w:color w:val="000000"/>
                <w:vertAlign w:val="superscript"/>
                <w:lang w:eastAsia="es-AR"/>
              </w:rPr>
              <w:t>a</w:t>
            </w:r>
            <w:r w:rsidRPr="00EF52F6">
              <w:rPr>
                <w:rFonts w:ascii="Arial" w:hAnsi="Arial" w:cs="Arial"/>
                <w:color w:val="000000"/>
                <w:lang w:eastAsia="es-AR"/>
              </w:rPr>
              <w:t>Bajo</w:t>
            </w:r>
            <w:proofErr w:type="spellEnd"/>
            <w:proofErr w:type="gramEnd"/>
            <w:r w:rsidRPr="00EF52F6">
              <w:rPr>
                <w:rFonts w:ascii="Arial" w:hAnsi="Arial" w:cs="Arial"/>
                <w:color w:val="000000"/>
                <w:lang w:eastAsia="es-AR"/>
              </w:rPr>
              <w:t xml:space="preserve"> el supuesto no </w:t>
            </w:r>
            <w:proofErr w:type="spellStart"/>
            <w:r w:rsidRPr="00EF52F6">
              <w:rPr>
                <w:rFonts w:ascii="Arial" w:hAnsi="Arial" w:cs="Arial"/>
                <w:color w:val="000000"/>
                <w:lang w:eastAsia="es-AR"/>
              </w:rPr>
              <w:t>paramétrico</w:t>
            </w:r>
            <w:proofErr w:type="spellEnd"/>
            <w:r>
              <w:rPr>
                <w:rFonts w:ascii="Arial" w:hAnsi="Arial" w:cs="Arial"/>
                <w:color w:val="000000"/>
                <w:lang w:eastAsia="es-AR"/>
              </w:rPr>
              <w:t>.</w:t>
            </w:r>
          </w:p>
        </w:tc>
      </w:tr>
      <w:tr w:rsidR="00F57981" w:rsidRPr="00EF52F6" w:rsidTr="00D271FE">
        <w:trPr>
          <w:cantSplit/>
          <w:trHeight w:val="286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7981" w:rsidRPr="00EF52F6" w:rsidRDefault="00F57981" w:rsidP="00D271FE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Arial" w:hAnsi="Arial" w:cs="Arial"/>
                <w:color w:val="000000"/>
                <w:lang w:eastAsia="es-AR"/>
              </w:rPr>
            </w:pPr>
            <w:proofErr w:type="spellStart"/>
            <w:proofErr w:type="gramStart"/>
            <w:r w:rsidRPr="00991825">
              <w:rPr>
                <w:rFonts w:ascii="Arial" w:hAnsi="Arial" w:cs="Arial"/>
                <w:color w:val="000000"/>
                <w:vertAlign w:val="superscript"/>
                <w:lang w:eastAsia="es-AR"/>
              </w:rPr>
              <w:t>b</w:t>
            </w:r>
            <w:r w:rsidRPr="00EF52F6">
              <w:rPr>
                <w:rFonts w:ascii="Arial" w:hAnsi="Arial" w:cs="Arial"/>
                <w:color w:val="000000"/>
                <w:lang w:eastAsia="es-AR"/>
              </w:rPr>
              <w:t>Hipótesis</w:t>
            </w:r>
            <w:proofErr w:type="spellEnd"/>
            <w:proofErr w:type="gramEnd"/>
            <w:r w:rsidRPr="00EF52F6">
              <w:rPr>
                <w:rFonts w:ascii="Arial" w:hAnsi="Arial" w:cs="Arial"/>
                <w:color w:val="000000"/>
                <w:lang w:eastAsia="es-AR"/>
              </w:rPr>
              <w:t xml:space="preserve"> nula: área verdadera = 0,5</w:t>
            </w:r>
            <w:r>
              <w:rPr>
                <w:rFonts w:ascii="Arial" w:hAnsi="Arial" w:cs="Arial"/>
                <w:color w:val="000000"/>
                <w:lang w:eastAsia="es-AR"/>
              </w:rPr>
              <w:t>.</w:t>
            </w:r>
          </w:p>
        </w:tc>
      </w:tr>
    </w:tbl>
    <w:p w:rsidR="00F57981" w:rsidRDefault="00F57981" w:rsidP="00F57981">
      <w:pPr>
        <w:spacing w:line="480" w:lineRule="auto"/>
        <w:jc w:val="both"/>
        <w:rPr>
          <w:rFonts w:ascii="Arial" w:hAnsi="Arial" w:cs="Arial"/>
        </w:rPr>
      </w:pPr>
      <w:r w:rsidRPr="00991825"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PM APACHE: </w:t>
      </w:r>
      <w:r w:rsidRPr="00C90FC1">
        <w:rPr>
          <w:rFonts w:ascii="Arial" w:hAnsi="Arial" w:cs="Arial"/>
        </w:rPr>
        <w:t>P</w:t>
      </w:r>
      <w:r>
        <w:rPr>
          <w:rFonts w:ascii="Arial" w:hAnsi="Arial" w:cs="Arial"/>
        </w:rPr>
        <w:t>robabilidad de muerte predicha por el puntaje APACHE II.</w:t>
      </w:r>
    </w:p>
    <w:p w:rsidR="00F57981" w:rsidRDefault="00F57981" w:rsidP="00F57981">
      <w:pPr>
        <w:spacing w:line="480" w:lineRule="auto"/>
        <w:jc w:val="both"/>
        <w:rPr>
          <w:rFonts w:ascii="Arial" w:hAnsi="Arial" w:cs="Arial"/>
        </w:rPr>
      </w:pPr>
      <w:r w:rsidRPr="00991825">
        <w:rPr>
          <w:rFonts w:ascii="Arial" w:hAnsi="Arial" w:cs="Arial"/>
          <w:vertAlign w:val="superscript"/>
        </w:rPr>
        <w:t>**</w:t>
      </w:r>
      <w:r>
        <w:rPr>
          <w:rFonts w:ascii="Arial" w:hAnsi="Arial" w:cs="Arial"/>
        </w:rPr>
        <w:t xml:space="preserve">PM SAPS: </w:t>
      </w:r>
      <w:r w:rsidRPr="00C90FC1">
        <w:rPr>
          <w:rFonts w:ascii="Arial" w:hAnsi="Arial" w:cs="Arial"/>
        </w:rPr>
        <w:t>P</w:t>
      </w:r>
      <w:r>
        <w:rPr>
          <w:rFonts w:ascii="Arial" w:hAnsi="Arial" w:cs="Arial"/>
        </w:rPr>
        <w:t>robabilidad de muerte predicha por el puntaje SAPS II.</w:t>
      </w:r>
    </w:p>
    <w:p w:rsidR="00F57981" w:rsidRDefault="00F57981"/>
    <w:sectPr w:rsidR="00F57981" w:rsidSect="007E69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57981"/>
    <w:rsid w:val="00246164"/>
    <w:rsid w:val="005E54C3"/>
    <w:rsid w:val="007E6919"/>
    <w:rsid w:val="009438AE"/>
    <w:rsid w:val="00E21090"/>
    <w:rsid w:val="00F5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1</cp:revision>
  <dcterms:created xsi:type="dcterms:W3CDTF">2016-03-16T19:47:00Z</dcterms:created>
  <dcterms:modified xsi:type="dcterms:W3CDTF">2016-03-16T19:48:00Z</dcterms:modified>
</cp:coreProperties>
</file>