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37" w:rsidRPr="00D22F77" w:rsidRDefault="00947FF2" w:rsidP="00954B3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Tabla 3</w:t>
      </w:r>
      <w:r w:rsidR="00954B37" w:rsidRPr="00D22F77">
        <w:rPr>
          <w:rFonts w:ascii="Arial" w:hAnsi="Arial" w:cs="Arial"/>
          <w:sz w:val="24"/>
          <w:szCs w:val="24"/>
        </w:rPr>
        <w:t>. Marcadores pronósticos al ingreso a UCIP de niños ahogados en PCR.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2268"/>
        <w:gridCol w:w="2000"/>
      </w:tblGrid>
      <w:tr w:rsidR="00954B37" w:rsidRPr="00D22F77" w:rsidTr="009F7BF8">
        <w:tc>
          <w:tcPr>
            <w:tcW w:w="2802" w:type="dxa"/>
            <w:vMerge w:val="restart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>Marcadores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>al ingreso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 xml:space="preserve">Grupo 1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>(PCPCS 1,2 y 3)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 xml:space="preserve">Grupo 2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>(PCPCS 4 y 5)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 xml:space="preserve">Grupo 3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77">
              <w:rPr>
                <w:rFonts w:ascii="Arial" w:hAnsi="Arial" w:cs="Arial"/>
                <w:b/>
                <w:sz w:val="24"/>
                <w:szCs w:val="24"/>
              </w:rPr>
              <w:t>(PCPCS 6)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4B37" w:rsidRPr="00D22F77" w:rsidTr="009F7BF8">
        <w:tc>
          <w:tcPr>
            <w:tcW w:w="2802" w:type="dxa"/>
            <w:vMerge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n: 5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(3 varones y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2 mujeres)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n: 3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(2 varones y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1 mujer) 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n: 3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(1 varón y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2 mujeres)  </w:t>
            </w:r>
          </w:p>
        </w:tc>
      </w:tr>
      <w:tr w:rsidR="00954B37" w:rsidRPr="00D22F77" w:rsidTr="009F7BF8">
        <w:tc>
          <w:tcPr>
            <w:tcW w:w="2802" w:type="dxa"/>
            <w:vMerge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Edad promedio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35 meses</w:t>
            </w: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Edad promedio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34 meses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Edad promedio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21 meses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Promedio puntaje PRISM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8,03%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1,43-16,17)</w:t>
            </w: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60,11%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42,85-70,45)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96,82%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93,95-98,28)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Promedio glucemia plasmática (mg%)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139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39-203)</w:t>
            </w: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357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312-393)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403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331-455)</w:t>
            </w: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Promedio ácido láctico plasmático (mmol/l)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1,2-5,59)</w:t>
            </w: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6,9-7,5)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17,9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14,2-20,1)</w:t>
            </w: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Promedio pH </w:t>
            </w: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sanguíneo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7,21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(rango 7,14-7,29)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7,05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(rango 6,97-7,21)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6,72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(rango 6,54-6,88)</w:t>
            </w: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lastRenderedPageBreak/>
              <w:t>Promedio bicarbonato plasmático (mmol/l)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13,1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10-17,9)</w:t>
            </w: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11,26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8,7-15,6)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7,83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5,7-11,6)</w:t>
            </w:r>
          </w:p>
        </w:tc>
      </w:tr>
      <w:tr w:rsidR="00954B37" w:rsidRPr="00D22F77" w:rsidTr="009F7BF8">
        <w:tc>
          <w:tcPr>
            <w:tcW w:w="2802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 xml:space="preserve">Promedio exceso de base 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-14,74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-9,5/-17,1)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-21,87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-20,3/-23,3)</w:t>
            </w:r>
          </w:p>
        </w:tc>
        <w:tc>
          <w:tcPr>
            <w:tcW w:w="2000" w:type="dxa"/>
          </w:tcPr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-28</w:t>
            </w:r>
          </w:p>
          <w:p w:rsidR="00954B37" w:rsidRPr="00D22F77" w:rsidRDefault="00954B37" w:rsidP="009F7BF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77">
              <w:rPr>
                <w:rFonts w:ascii="Arial" w:hAnsi="Arial" w:cs="Arial"/>
                <w:sz w:val="24"/>
                <w:szCs w:val="24"/>
              </w:rPr>
              <w:t>(rango -22/-33)</w:t>
            </w:r>
          </w:p>
        </w:tc>
      </w:tr>
    </w:tbl>
    <w:p w:rsidR="00954B37" w:rsidRPr="00D22F77" w:rsidRDefault="00954B37" w:rsidP="00954B3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86FFA" w:rsidRDefault="00886FFA"/>
    <w:p w:rsidR="00954B37" w:rsidRDefault="00954B37"/>
    <w:sectPr w:rsidR="00954B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37"/>
    <w:rsid w:val="00886FFA"/>
    <w:rsid w:val="008900FC"/>
    <w:rsid w:val="00947FF2"/>
    <w:rsid w:val="00954B37"/>
    <w:rsid w:val="00A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6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6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Yanina</cp:lastModifiedBy>
  <cp:revision>2</cp:revision>
  <dcterms:created xsi:type="dcterms:W3CDTF">2016-11-06T17:52:00Z</dcterms:created>
  <dcterms:modified xsi:type="dcterms:W3CDTF">2016-11-06T17:52:00Z</dcterms:modified>
</cp:coreProperties>
</file>