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02930" w14:textId="77777777" w:rsidR="00CD3AAB" w:rsidRDefault="00CD3AAB" w:rsidP="00803771">
      <w:pPr>
        <w:spacing w:after="0" w:line="240" w:lineRule="auto"/>
        <w:rPr>
          <w:color w:val="C0504D" w:themeColor="accent2"/>
          <w:szCs w:val="24"/>
        </w:rPr>
      </w:pPr>
      <w:bookmarkStart w:id="0" w:name="_Toc431407900"/>
      <w:bookmarkStart w:id="1" w:name="_GoBack"/>
      <w:bookmarkEnd w:id="1"/>
      <w:r>
        <w:rPr>
          <w:color w:val="C0504D" w:themeColor="accent2"/>
          <w:szCs w:val="24"/>
        </w:rPr>
        <w:br w:type="page"/>
      </w:r>
    </w:p>
    <w:p w14:paraId="0AF8FAB2" w14:textId="77777777" w:rsidR="00A17574" w:rsidRPr="00055EE2" w:rsidRDefault="00055EE2" w:rsidP="00055EE2">
      <w:pPr>
        <w:rPr>
          <w:color w:val="auto"/>
        </w:rPr>
      </w:pPr>
      <w:sdt>
        <w:sdtPr>
          <w:rPr>
            <w:b/>
            <w:bCs/>
            <w:color w:val="auto"/>
          </w:rPr>
          <w:id w:val="507025008"/>
          <w:docPartObj>
            <w:docPartGallery w:val="Table of Contents"/>
            <w:docPartUnique/>
          </w:docPartObj>
        </w:sdtPr>
        <w:sdtEndPr>
          <w:rPr>
            <w:b w:val="0"/>
            <w:bCs w:val="0"/>
          </w:rPr>
        </w:sdtEndPr>
        <w:sdtContent>
          <w:r w:rsidRPr="00055EE2">
            <w:rPr>
              <w:color w:val="auto"/>
              <w:sz w:val="16"/>
              <w:szCs w:val="16"/>
            </w:rPr>
            <w:t xml:space="preserve">                                                                                             </w:t>
          </w:r>
        </w:sdtContent>
      </w:sdt>
      <w:r w:rsidR="00A17574" w:rsidRPr="00055EE2">
        <w:rPr>
          <w:color w:val="auto"/>
          <w:szCs w:val="24"/>
        </w:rPr>
        <w:t>RESUMEN</w:t>
      </w:r>
    </w:p>
    <w:p w14:paraId="0CB633A4" w14:textId="77777777" w:rsidR="00B1797A" w:rsidRPr="00055EE2" w:rsidRDefault="00B1797A" w:rsidP="00E90C5C">
      <w:pPr>
        <w:spacing w:after="0" w:line="480" w:lineRule="auto"/>
        <w:jc w:val="both"/>
        <w:rPr>
          <w:b/>
          <w:color w:val="auto"/>
          <w:szCs w:val="24"/>
        </w:rPr>
      </w:pPr>
      <w:r w:rsidRPr="00055EE2">
        <w:rPr>
          <w:color w:val="auto"/>
          <w:szCs w:val="24"/>
        </w:rPr>
        <w:t xml:space="preserve">La anemia es un factor </w:t>
      </w:r>
      <w:r w:rsidR="00DA5F5B" w:rsidRPr="00055EE2">
        <w:rPr>
          <w:color w:val="auto"/>
          <w:szCs w:val="24"/>
        </w:rPr>
        <w:t xml:space="preserve">conocido </w:t>
      </w:r>
      <w:r w:rsidRPr="00055EE2">
        <w:rPr>
          <w:color w:val="auto"/>
          <w:szCs w:val="24"/>
        </w:rPr>
        <w:t>de morbimortalidad en el paciente crítico</w:t>
      </w:r>
      <w:r w:rsidR="00AD417D" w:rsidRPr="00055EE2">
        <w:rPr>
          <w:color w:val="auto"/>
          <w:szCs w:val="24"/>
        </w:rPr>
        <w:t>.</w:t>
      </w:r>
      <w:r w:rsidRPr="00055EE2">
        <w:rPr>
          <w:color w:val="auto"/>
          <w:szCs w:val="24"/>
        </w:rPr>
        <w:t xml:space="preserve">  </w:t>
      </w:r>
      <w:r w:rsidR="00AD417D" w:rsidRPr="00055EE2">
        <w:rPr>
          <w:color w:val="auto"/>
          <w:szCs w:val="24"/>
        </w:rPr>
        <w:t>Los pacientes ingresados a las</w:t>
      </w:r>
      <w:r w:rsidR="00AC4F24" w:rsidRPr="00055EE2">
        <w:rPr>
          <w:color w:val="auto"/>
          <w:szCs w:val="24"/>
        </w:rPr>
        <w:t xml:space="preserve"> UCIs constituyen una población</w:t>
      </w:r>
      <w:r w:rsidR="00AD417D" w:rsidRPr="00055EE2">
        <w:rPr>
          <w:color w:val="auto"/>
          <w:szCs w:val="24"/>
        </w:rPr>
        <w:t xml:space="preserve"> con elevada prevalencia </w:t>
      </w:r>
      <w:r w:rsidR="00AC4F24" w:rsidRPr="00055EE2">
        <w:rPr>
          <w:color w:val="auto"/>
          <w:szCs w:val="24"/>
        </w:rPr>
        <w:t>de anemia (40–70%) respondiendo</w:t>
      </w:r>
      <w:r w:rsidR="00AD417D" w:rsidRPr="00055EE2">
        <w:rPr>
          <w:color w:val="auto"/>
          <w:szCs w:val="24"/>
        </w:rPr>
        <w:t xml:space="preserve"> a una etiología multifactorial</w:t>
      </w:r>
      <w:r w:rsidR="00AD417D" w:rsidRPr="00055EE2">
        <w:rPr>
          <w:b/>
          <w:color w:val="auto"/>
          <w:szCs w:val="24"/>
        </w:rPr>
        <w:t>.</w:t>
      </w:r>
      <w:r w:rsidR="00CD3AAB" w:rsidRPr="00055EE2">
        <w:rPr>
          <w:b/>
          <w:color w:val="auto"/>
          <w:szCs w:val="24"/>
        </w:rPr>
        <w:t xml:space="preserve"> </w:t>
      </w:r>
      <w:r w:rsidR="00A17574" w:rsidRPr="00055EE2">
        <w:rPr>
          <w:rFonts w:eastAsia="Times New Roman"/>
          <w:color w:val="auto"/>
          <w:szCs w:val="24"/>
          <w:lang w:eastAsia="es-AR"/>
        </w:rPr>
        <w:t>Un tercio de los pacientes críticos recibe alguna transfusión durante su estadía en la Unidad de Cuidado Intensivo (UCI).</w:t>
      </w:r>
      <w:r w:rsidR="00A17574" w:rsidRPr="00055EE2">
        <w:rPr>
          <w:color w:val="auto"/>
          <w:szCs w:val="24"/>
        </w:rPr>
        <w:t xml:space="preserve"> </w:t>
      </w:r>
    </w:p>
    <w:p w14:paraId="44E7DE2A" w14:textId="77777777" w:rsidR="00CD3AAB" w:rsidRPr="00055EE2" w:rsidRDefault="00A17574" w:rsidP="00E90C5C">
      <w:pPr>
        <w:spacing w:after="0" w:line="480" w:lineRule="auto"/>
        <w:jc w:val="both"/>
        <w:rPr>
          <w:color w:val="auto"/>
        </w:rPr>
      </w:pPr>
      <w:r w:rsidRPr="00055EE2">
        <w:rPr>
          <w:rFonts w:eastAsia="Times New Roman"/>
          <w:color w:val="auto"/>
          <w:szCs w:val="24"/>
          <w:lang w:eastAsia="es-AR"/>
        </w:rPr>
        <w:t xml:space="preserve">El efecto de la transfusión de </w:t>
      </w:r>
      <w:r w:rsidR="007F738F" w:rsidRPr="00055EE2">
        <w:rPr>
          <w:rFonts w:eastAsia="Times New Roman"/>
          <w:color w:val="auto"/>
          <w:szCs w:val="24"/>
          <w:lang w:eastAsia="es-AR"/>
        </w:rPr>
        <w:t>glóbulos rojos alogénica (</w:t>
      </w:r>
      <w:r w:rsidRPr="00055EE2">
        <w:rPr>
          <w:rFonts w:eastAsia="Times New Roman"/>
          <w:color w:val="auto"/>
          <w:szCs w:val="24"/>
          <w:lang w:eastAsia="es-AR"/>
        </w:rPr>
        <w:t>GRA</w:t>
      </w:r>
      <w:r w:rsidR="007F738F" w:rsidRPr="00055EE2">
        <w:rPr>
          <w:rFonts w:eastAsia="Times New Roman"/>
          <w:color w:val="auto"/>
          <w:szCs w:val="24"/>
          <w:lang w:eastAsia="es-AR"/>
        </w:rPr>
        <w:t>)</w:t>
      </w:r>
      <w:r w:rsidRPr="00055EE2">
        <w:rPr>
          <w:rFonts w:eastAsia="Times New Roman"/>
          <w:color w:val="auto"/>
          <w:szCs w:val="24"/>
          <w:lang w:eastAsia="es-AR"/>
        </w:rPr>
        <w:t xml:space="preserve"> en la evolución de los pacientes críticos sigue siendo controvertido,</w:t>
      </w:r>
      <w:r w:rsidR="007F738F" w:rsidRPr="00055EE2">
        <w:rPr>
          <w:rFonts w:eastAsia="Times New Roman"/>
          <w:color w:val="auto"/>
          <w:szCs w:val="24"/>
          <w:lang w:eastAsia="es-AR"/>
        </w:rPr>
        <w:t xml:space="preserve"> surgiendo</w:t>
      </w:r>
      <w:r w:rsidRPr="00055EE2">
        <w:rPr>
          <w:rFonts w:eastAsia="Times New Roman"/>
          <w:color w:val="auto"/>
          <w:szCs w:val="24"/>
          <w:lang w:eastAsia="es-AR"/>
        </w:rPr>
        <w:t xml:space="preserve"> varias preguntas</w:t>
      </w:r>
      <w:r w:rsidR="007F738F" w:rsidRPr="00055EE2">
        <w:rPr>
          <w:rFonts w:eastAsia="Times New Roman"/>
          <w:color w:val="auto"/>
          <w:szCs w:val="24"/>
          <w:lang w:eastAsia="es-AR"/>
        </w:rPr>
        <w:t>:</w:t>
      </w:r>
      <w:r w:rsidRPr="00055EE2">
        <w:rPr>
          <w:rFonts w:eastAsia="Times New Roman"/>
          <w:color w:val="auto"/>
          <w:szCs w:val="24"/>
          <w:lang w:eastAsia="es-AR"/>
        </w:rPr>
        <w:t xml:space="preserve"> ¿cuándo transfundir? </w:t>
      </w:r>
      <w:r w:rsidR="007F738F" w:rsidRPr="00055EE2">
        <w:rPr>
          <w:rFonts w:eastAsia="Times New Roman"/>
          <w:color w:val="auto"/>
          <w:szCs w:val="24"/>
          <w:lang w:eastAsia="es-AR"/>
        </w:rPr>
        <w:t xml:space="preserve">Y si se decide realizarla </w:t>
      </w:r>
      <w:r w:rsidRPr="00055EE2">
        <w:rPr>
          <w:rFonts w:eastAsia="Times New Roman"/>
          <w:color w:val="auto"/>
          <w:szCs w:val="24"/>
          <w:lang w:eastAsia="es-AR"/>
        </w:rPr>
        <w:t xml:space="preserve">¿qué cantidad? </w:t>
      </w:r>
      <w:r w:rsidR="008441D8" w:rsidRPr="00055EE2">
        <w:rPr>
          <w:rFonts w:eastAsia="Times New Roman"/>
          <w:color w:val="auto"/>
          <w:szCs w:val="24"/>
          <w:lang w:eastAsia="es-AR"/>
        </w:rPr>
        <w:t>.</w:t>
      </w:r>
      <w:r w:rsidR="00CD3AAB" w:rsidRPr="00055EE2">
        <w:rPr>
          <w:rFonts w:eastAsia="Times New Roman"/>
          <w:color w:val="auto"/>
          <w:szCs w:val="24"/>
          <w:lang w:eastAsia="es-AR"/>
        </w:rPr>
        <w:t xml:space="preserve">Estas preguntas </w:t>
      </w:r>
      <w:r w:rsidRPr="00055EE2">
        <w:rPr>
          <w:rFonts w:eastAsia="Times New Roman"/>
          <w:color w:val="auto"/>
          <w:szCs w:val="24"/>
          <w:lang w:eastAsia="es-AR"/>
        </w:rPr>
        <w:t xml:space="preserve"> no tienen una respuesta de</w:t>
      </w:r>
      <w:r w:rsidR="001566EF" w:rsidRPr="00055EE2">
        <w:rPr>
          <w:rFonts w:eastAsia="Times New Roman"/>
          <w:color w:val="auto"/>
          <w:szCs w:val="24"/>
          <w:lang w:eastAsia="es-AR"/>
        </w:rPr>
        <w:t>finitiva</w:t>
      </w:r>
      <w:r w:rsidRPr="00055EE2">
        <w:rPr>
          <w:rFonts w:eastAsia="Times New Roman"/>
          <w:color w:val="auto"/>
          <w:szCs w:val="24"/>
          <w:lang w:eastAsia="es-AR"/>
        </w:rPr>
        <w:t xml:space="preserve"> por parte de muchos investigadores.</w:t>
      </w:r>
      <w:r w:rsidRPr="00055EE2">
        <w:rPr>
          <w:color w:val="auto"/>
        </w:rPr>
        <w:t xml:space="preserve"> </w:t>
      </w:r>
    </w:p>
    <w:p w14:paraId="0E42C4F5" w14:textId="77777777" w:rsidR="00A17574" w:rsidRPr="00055EE2" w:rsidRDefault="00A17574" w:rsidP="00E90C5C">
      <w:pPr>
        <w:spacing w:after="0" w:line="480" w:lineRule="auto"/>
        <w:jc w:val="both"/>
        <w:rPr>
          <w:rFonts w:eastAsia="Times New Roman"/>
          <w:color w:val="auto"/>
          <w:szCs w:val="24"/>
          <w:lang w:eastAsia="es-AR"/>
        </w:rPr>
      </w:pPr>
      <w:r w:rsidRPr="00055EE2">
        <w:rPr>
          <w:rFonts w:eastAsia="Times New Roman"/>
          <w:color w:val="auto"/>
          <w:szCs w:val="24"/>
          <w:lang w:eastAsia="es-AR"/>
        </w:rPr>
        <w:t xml:space="preserve">El objetivo </w:t>
      </w:r>
      <w:r w:rsidR="00CD3AAB" w:rsidRPr="00055EE2">
        <w:rPr>
          <w:rFonts w:eastAsia="Times New Roman"/>
          <w:color w:val="auto"/>
          <w:szCs w:val="24"/>
          <w:lang w:eastAsia="es-AR"/>
        </w:rPr>
        <w:t xml:space="preserve">de </w:t>
      </w:r>
      <w:r w:rsidR="008441D8" w:rsidRPr="00055EE2">
        <w:rPr>
          <w:rFonts w:eastAsia="Times New Roman"/>
          <w:color w:val="auto"/>
          <w:szCs w:val="24"/>
          <w:lang w:eastAsia="es-AR"/>
        </w:rPr>
        <w:t>este trabajo</w:t>
      </w:r>
      <w:r w:rsidR="00CD3AAB" w:rsidRPr="00055EE2">
        <w:rPr>
          <w:rFonts w:eastAsia="Times New Roman"/>
          <w:color w:val="auto"/>
          <w:szCs w:val="24"/>
          <w:lang w:eastAsia="es-AR"/>
        </w:rPr>
        <w:t xml:space="preserve"> </w:t>
      </w:r>
      <w:r w:rsidRPr="00055EE2">
        <w:rPr>
          <w:rFonts w:eastAsia="Times New Roman"/>
          <w:color w:val="auto"/>
          <w:szCs w:val="24"/>
          <w:lang w:eastAsia="es-AR"/>
        </w:rPr>
        <w:t>es plantear la contribución de la anemia a la morbimo</w:t>
      </w:r>
      <w:r w:rsidR="001566EF" w:rsidRPr="00055EE2">
        <w:rPr>
          <w:rFonts w:eastAsia="Times New Roman"/>
          <w:color w:val="auto"/>
          <w:szCs w:val="24"/>
          <w:lang w:eastAsia="es-AR"/>
        </w:rPr>
        <w:t>rtalidad en el paciente crítico</w:t>
      </w:r>
      <w:r w:rsidRPr="00055EE2">
        <w:rPr>
          <w:rFonts w:eastAsia="Times New Roman"/>
          <w:color w:val="auto"/>
          <w:szCs w:val="24"/>
          <w:lang w:eastAsia="es-AR"/>
        </w:rPr>
        <w:t xml:space="preserve"> </w:t>
      </w:r>
      <w:r w:rsidR="00CD3AAB" w:rsidRPr="00055EE2">
        <w:rPr>
          <w:rFonts w:eastAsia="Times New Roman"/>
          <w:color w:val="auto"/>
          <w:szCs w:val="24"/>
          <w:lang w:eastAsia="es-AR"/>
        </w:rPr>
        <w:t xml:space="preserve">y analizar el efecto de la transfusión de Globulos Rojos, </w:t>
      </w:r>
      <w:r w:rsidRPr="00055EE2">
        <w:rPr>
          <w:rFonts w:eastAsia="Times New Roman"/>
          <w:color w:val="auto"/>
          <w:szCs w:val="24"/>
          <w:lang w:eastAsia="es-AR"/>
        </w:rPr>
        <w:t xml:space="preserve">mediante una revisión bibliográfica de </w:t>
      </w:r>
      <w:r w:rsidR="007F738F" w:rsidRPr="00055EE2">
        <w:rPr>
          <w:rFonts w:eastAsia="Times New Roman"/>
          <w:color w:val="auto"/>
          <w:szCs w:val="24"/>
          <w:lang w:eastAsia="es-AR"/>
        </w:rPr>
        <w:t xml:space="preserve">los </w:t>
      </w:r>
      <w:r w:rsidRPr="00055EE2">
        <w:rPr>
          <w:rFonts w:eastAsia="Times New Roman"/>
          <w:color w:val="auto"/>
          <w:szCs w:val="24"/>
          <w:lang w:eastAsia="es-AR"/>
        </w:rPr>
        <w:t>estudios más relevantes.</w:t>
      </w:r>
      <w:r w:rsidR="008441D8" w:rsidRPr="00055EE2">
        <w:rPr>
          <w:rFonts w:eastAsia="Calibri"/>
          <w:iCs/>
          <w:color w:val="auto"/>
          <w:szCs w:val="24"/>
        </w:rPr>
        <w:t xml:space="preserve"> </w:t>
      </w:r>
    </w:p>
    <w:p w14:paraId="328A9A5C" w14:textId="77777777" w:rsidR="003271F7" w:rsidRPr="00055EE2" w:rsidRDefault="00E90C5C" w:rsidP="00E90C5C">
      <w:pPr>
        <w:spacing w:after="0" w:line="480" w:lineRule="auto"/>
        <w:jc w:val="both"/>
        <w:rPr>
          <w:color w:val="auto"/>
        </w:rPr>
      </w:pPr>
      <w:r w:rsidRPr="00055EE2">
        <w:rPr>
          <w:rFonts w:eastAsia="Calibri"/>
          <w:iCs/>
          <w:color w:val="auto"/>
          <w:szCs w:val="24"/>
        </w:rPr>
        <w:t>Se utilizó como límite de búsqueda idioma español e ingles, sin límite de tiempo, poniendo énfasis en artículos publicados los últimos 5 años, relacionado directamente con el trabajo</w:t>
      </w:r>
      <w:r w:rsidR="00427879" w:rsidRPr="00055EE2">
        <w:rPr>
          <w:rFonts w:eastAsia="Calibri"/>
          <w:iCs/>
          <w:color w:val="auto"/>
          <w:szCs w:val="24"/>
        </w:rPr>
        <w:t>.</w:t>
      </w:r>
      <w:r w:rsidRPr="00055EE2">
        <w:rPr>
          <w:color w:val="auto"/>
          <w:szCs w:val="24"/>
        </w:rPr>
        <w:t xml:space="preserve"> </w:t>
      </w:r>
      <w:r w:rsidR="008441D8" w:rsidRPr="00055EE2">
        <w:rPr>
          <w:rFonts w:eastAsia="Times New Roman"/>
          <w:color w:val="auto"/>
          <w:szCs w:val="24"/>
          <w:lang w:eastAsia="es-AR"/>
        </w:rPr>
        <w:t xml:space="preserve">Como  resultado de esta revisión, se considera que </w:t>
      </w:r>
      <w:r w:rsidR="003271F7" w:rsidRPr="00055EE2">
        <w:rPr>
          <w:rFonts w:eastAsia="Times New Roman"/>
          <w:color w:val="auto"/>
          <w:szCs w:val="24"/>
          <w:lang w:eastAsia="es-AR"/>
        </w:rPr>
        <w:t xml:space="preserve">la Hb no es el único parámetro a tener en cuenta, sino también la condición clínica, siendo </w:t>
      </w:r>
      <w:r w:rsidR="008441D8" w:rsidRPr="00055EE2">
        <w:rPr>
          <w:rFonts w:eastAsia="Times New Roman"/>
          <w:color w:val="auto"/>
          <w:szCs w:val="24"/>
          <w:lang w:eastAsia="es-AR"/>
        </w:rPr>
        <w:t xml:space="preserve">preferible </w:t>
      </w:r>
      <w:r w:rsidR="003271F7" w:rsidRPr="00055EE2">
        <w:rPr>
          <w:rFonts w:eastAsia="Times New Roman"/>
          <w:color w:val="auto"/>
          <w:szCs w:val="24"/>
          <w:lang w:eastAsia="es-AR"/>
        </w:rPr>
        <w:t>la conducta restrictiva e</w:t>
      </w:r>
      <w:r w:rsidR="008441D8" w:rsidRPr="00055EE2">
        <w:rPr>
          <w:rFonts w:eastAsia="Times New Roman"/>
          <w:color w:val="auto"/>
          <w:szCs w:val="24"/>
          <w:lang w:eastAsia="es-AR"/>
        </w:rPr>
        <w:t>n la mayoría de los casos.</w:t>
      </w:r>
      <w:r w:rsidR="003271F7" w:rsidRPr="00055EE2">
        <w:rPr>
          <w:rFonts w:eastAsia="Times New Roman"/>
          <w:color w:val="auto"/>
          <w:szCs w:val="24"/>
          <w:lang w:eastAsia="es-AR"/>
        </w:rPr>
        <w:t xml:space="preserve"> </w:t>
      </w:r>
    </w:p>
    <w:p w14:paraId="0A508D79" w14:textId="77777777" w:rsidR="00A17574" w:rsidRPr="00055EE2" w:rsidRDefault="00A17574" w:rsidP="00E90C5C">
      <w:pPr>
        <w:spacing w:after="0" w:line="480" w:lineRule="auto"/>
        <w:jc w:val="both"/>
        <w:rPr>
          <w:rFonts w:eastAsia="Calibri"/>
          <w:iCs/>
          <w:color w:val="auto"/>
          <w:szCs w:val="24"/>
        </w:rPr>
      </w:pPr>
      <w:r w:rsidRPr="00055EE2">
        <w:rPr>
          <w:color w:val="auto"/>
          <w:szCs w:val="24"/>
        </w:rPr>
        <w:t>Palabras claves utilizadas</w:t>
      </w:r>
      <w:r w:rsidRPr="00055EE2">
        <w:rPr>
          <w:b/>
          <w:color w:val="auto"/>
          <w:szCs w:val="24"/>
        </w:rPr>
        <w:t>:</w:t>
      </w:r>
      <w:r w:rsidRPr="00055EE2">
        <w:rPr>
          <w:color w:val="auto"/>
          <w:szCs w:val="24"/>
        </w:rPr>
        <w:t xml:space="preserve"> anemia</w:t>
      </w:r>
      <w:r w:rsidRPr="00055EE2">
        <w:rPr>
          <w:color w:val="auto"/>
          <w:szCs w:val="24"/>
          <w:shd w:val="clear" w:color="auto" w:fill="FFFFFF"/>
        </w:rPr>
        <w:t>, transfusión, paciente crítico.</w:t>
      </w:r>
      <w:r w:rsidRPr="00055EE2">
        <w:rPr>
          <w:rFonts w:eastAsia="Calibri"/>
          <w:iCs/>
          <w:color w:val="auto"/>
          <w:szCs w:val="24"/>
        </w:rPr>
        <w:t xml:space="preserve"> </w:t>
      </w:r>
    </w:p>
    <w:p w14:paraId="4F500A76" w14:textId="77777777" w:rsidR="00374C8F" w:rsidRDefault="00374C8F" w:rsidP="00374C8F">
      <w:pPr>
        <w:spacing w:after="0" w:line="480" w:lineRule="auto"/>
        <w:jc w:val="both"/>
        <w:rPr>
          <w:rFonts w:eastAsia="Calibri"/>
          <w:iCs/>
          <w:color w:val="FF0000"/>
          <w:szCs w:val="24"/>
        </w:rPr>
      </w:pPr>
    </w:p>
    <w:p w14:paraId="4CAE30DA" w14:textId="77777777" w:rsidR="00CB45ED" w:rsidRDefault="00CB45ED" w:rsidP="00374C8F">
      <w:pPr>
        <w:spacing w:after="0" w:line="480" w:lineRule="auto"/>
        <w:jc w:val="both"/>
        <w:rPr>
          <w:rFonts w:eastAsia="Calibri"/>
          <w:iCs/>
          <w:color w:val="FF0000"/>
          <w:szCs w:val="24"/>
        </w:rPr>
      </w:pPr>
    </w:p>
    <w:p w14:paraId="5194E8D2" w14:textId="77777777" w:rsidR="00CB45ED" w:rsidRDefault="00CB45ED" w:rsidP="00374C8F">
      <w:pPr>
        <w:spacing w:after="0" w:line="480" w:lineRule="auto"/>
        <w:jc w:val="both"/>
        <w:rPr>
          <w:rFonts w:eastAsia="Calibri"/>
          <w:iCs/>
          <w:color w:val="FF0000"/>
          <w:szCs w:val="24"/>
        </w:rPr>
      </w:pPr>
    </w:p>
    <w:p w14:paraId="58B4A105" w14:textId="77777777" w:rsidR="00CB45ED" w:rsidRDefault="00CB45ED" w:rsidP="00374C8F">
      <w:pPr>
        <w:spacing w:after="0" w:line="480" w:lineRule="auto"/>
        <w:jc w:val="both"/>
        <w:rPr>
          <w:rFonts w:eastAsia="Calibri"/>
          <w:iCs/>
          <w:color w:val="FF0000"/>
          <w:szCs w:val="24"/>
        </w:rPr>
      </w:pPr>
    </w:p>
    <w:p w14:paraId="249229C4" w14:textId="77777777" w:rsidR="00CB45ED" w:rsidRDefault="00CB45ED" w:rsidP="00374C8F">
      <w:pPr>
        <w:spacing w:after="0" w:line="480" w:lineRule="auto"/>
        <w:jc w:val="both"/>
        <w:rPr>
          <w:rFonts w:eastAsia="Calibri"/>
          <w:iCs/>
          <w:color w:val="FF0000"/>
          <w:szCs w:val="24"/>
        </w:rPr>
      </w:pPr>
    </w:p>
    <w:p w14:paraId="1658FBBA" w14:textId="77777777" w:rsidR="00CB45ED" w:rsidRDefault="00CB45ED" w:rsidP="00374C8F">
      <w:pPr>
        <w:spacing w:after="0" w:line="480" w:lineRule="auto"/>
        <w:jc w:val="both"/>
        <w:rPr>
          <w:rFonts w:eastAsia="Calibri"/>
          <w:iCs/>
          <w:color w:val="FF0000"/>
          <w:szCs w:val="24"/>
        </w:rPr>
      </w:pPr>
    </w:p>
    <w:p w14:paraId="6EBDD8E6" w14:textId="77777777" w:rsidR="00CB45ED" w:rsidRPr="00374C8F" w:rsidRDefault="00CB45ED" w:rsidP="00374C8F">
      <w:pPr>
        <w:spacing w:after="0" w:line="480" w:lineRule="auto"/>
        <w:jc w:val="both"/>
        <w:rPr>
          <w:rFonts w:eastAsia="Calibri"/>
          <w:iCs/>
          <w:color w:val="FF0000"/>
          <w:szCs w:val="24"/>
        </w:rPr>
      </w:pPr>
    </w:p>
    <w:p w14:paraId="0436D097"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auto"/>
          <w:szCs w:val="24"/>
          <w:lang w:val="en-US"/>
        </w:rPr>
      </w:pPr>
      <w:r w:rsidRPr="00055EE2">
        <w:rPr>
          <w:rFonts w:eastAsia="Times New Roman"/>
          <w:color w:val="auto"/>
          <w:szCs w:val="24"/>
          <w:lang w:val="en-US"/>
        </w:rPr>
        <w:t>SUMMARY</w:t>
      </w:r>
    </w:p>
    <w:p w14:paraId="45ECED06"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auto"/>
          <w:szCs w:val="24"/>
          <w:lang w:val="en-US"/>
        </w:rPr>
      </w:pPr>
      <w:r w:rsidRPr="00055EE2">
        <w:rPr>
          <w:rFonts w:eastAsia="Times New Roman"/>
          <w:color w:val="auto"/>
          <w:szCs w:val="24"/>
          <w:lang w:val="en-US"/>
        </w:rPr>
        <w:lastRenderedPageBreak/>
        <w:t>Anemia is a known factor of morbidity and mortality in the critical patient. Patients admitted to ICUs constitute a population with a high prevalence of anemia (40-70%) responding to a multifactorial etiology. One-third of critical patients receive a transfusion during their stay in the Intensive Care Unit (ICU).</w:t>
      </w:r>
    </w:p>
    <w:p w14:paraId="2D4DD38D"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auto"/>
          <w:szCs w:val="24"/>
          <w:lang w:val="en-US"/>
        </w:rPr>
      </w:pPr>
      <w:r w:rsidRPr="00055EE2">
        <w:rPr>
          <w:rFonts w:eastAsia="Times New Roman"/>
          <w:color w:val="auto"/>
          <w:szCs w:val="24"/>
          <w:lang w:val="en-US"/>
        </w:rPr>
        <w:t>The effect of allogeneic red blood cell transfusion in the evolution of critically ill patients remains controversial, raising several questions: when to transfuse? And if you decide to do it, how much</w:t>
      </w:r>
      <w:r w:rsidR="00CB45ED" w:rsidRPr="00055EE2">
        <w:rPr>
          <w:rFonts w:eastAsia="Times New Roman"/>
          <w:color w:val="auto"/>
          <w:szCs w:val="24"/>
          <w:lang w:val="en-US"/>
        </w:rPr>
        <w:t xml:space="preserve">?. </w:t>
      </w:r>
      <w:r w:rsidRPr="00055EE2">
        <w:rPr>
          <w:rFonts w:eastAsia="Times New Roman"/>
          <w:color w:val="auto"/>
          <w:szCs w:val="24"/>
          <w:lang w:val="en-US"/>
        </w:rPr>
        <w:t>These questions do not have a definitive answer on the part of many researchers.</w:t>
      </w:r>
    </w:p>
    <w:p w14:paraId="1DB98FEE"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auto"/>
          <w:szCs w:val="24"/>
          <w:lang w:val="en-US"/>
        </w:rPr>
      </w:pPr>
      <w:r w:rsidRPr="00055EE2">
        <w:rPr>
          <w:rFonts w:eastAsia="Times New Roman"/>
          <w:color w:val="auto"/>
          <w:szCs w:val="24"/>
          <w:lang w:val="en-US"/>
        </w:rPr>
        <w:t>The objective of this work is to present the contribution of anemia to morbidity and mortality in the critical patient and to analyze the effect of the transfusion of Red Cells, through a bibliographical review of the most relevant studies.</w:t>
      </w:r>
    </w:p>
    <w:p w14:paraId="72D370C7"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auto"/>
          <w:szCs w:val="24"/>
          <w:lang w:val="en-US"/>
        </w:rPr>
      </w:pPr>
      <w:r w:rsidRPr="00055EE2">
        <w:rPr>
          <w:rFonts w:eastAsia="Times New Roman"/>
          <w:color w:val="auto"/>
          <w:szCs w:val="24"/>
          <w:lang w:val="en-US"/>
        </w:rPr>
        <w:t xml:space="preserve">It was used as limit of search Spanish and English language, with no time limit, emphasizing articles published in the last 5 years, directly related to the work. As a result of this </w:t>
      </w:r>
      <w:r w:rsidR="00AE3D79" w:rsidRPr="00055EE2">
        <w:rPr>
          <w:rFonts w:eastAsia="Times New Roman"/>
          <w:color w:val="auto"/>
          <w:szCs w:val="24"/>
          <w:lang w:val="en-US"/>
        </w:rPr>
        <w:t>review, it is considered that Hemoglobin</w:t>
      </w:r>
      <w:r w:rsidRPr="00055EE2">
        <w:rPr>
          <w:rFonts w:eastAsia="Times New Roman"/>
          <w:color w:val="auto"/>
          <w:szCs w:val="24"/>
          <w:lang w:val="en-US"/>
        </w:rPr>
        <w:t xml:space="preserve"> is not the only parameter that takes into account, but also the clinical condition, with restrictive behavior being preferable in most cases.</w:t>
      </w:r>
    </w:p>
    <w:p w14:paraId="349A81E6" w14:textId="77777777" w:rsidR="00374C8F" w:rsidRPr="00055EE2" w:rsidRDefault="00374C8F" w:rsidP="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Courier New" w:eastAsia="Times New Roman" w:hAnsi="Courier New" w:cs="Courier New"/>
          <w:color w:val="auto"/>
          <w:sz w:val="20"/>
          <w:szCs w:val="20"/>
          <w:lang w:val="en-US"/>
        </w:rPr>
      </w:pPr>
      <w:r w:rsidRPr="00055EE2">
        <w:rPr>
          <w:rFonts w:eastAsia="Times New Roman"/>
          <w:color w:val="auto"/>
          <w:szCs w:val="24"/>
          <w:lang w:val="en-US"/>
        </w:rPr>
        <w:t>Keywords used: anemia, transfusion, critical patient.</w:t>
      </w:r>
    </w:p>
    <w:p w14:paraId="267614EC" w14:textId="77777777" w:rsidR="00374C8F" w:rsidRPr="00374C8F" w:rsidRDefault="00374C8F" w:rsidP="00E90C5C">
      <w:pPr>
        <w:spacing w:after="0" w:line="480" w:lineRule="auto"/>
        <w:jc w:val="both"/>
        <w:rPr>
          <w:rFonts w:eastAsia="Times New Roman"/>
          <w:color w:val="C0504D" w:themeColor="accent2"/>
          <w:szCs w:val="24"/>
          <w:lang w:val="en-US" w:eastAsia="es-AR"/>
        </w:rPr>
      </w:pPr>
    </w:p>
    <w:p w14:paraId="1B0D5656" w14:textId="77777777" w:rsidR="00B1797A" w:rsidRPr="00374C8F" w:rsidRDefault="00CD3AAB" w:rsidP="00E90C5C">
      <w:pPr>
        <w:spacing w:after="0"/>
        <w:rPr>
          <w:rFonts w:eastAsia="Times New Roman"/>
          <w:color w:val="auto"/>
          <w:szCs w:val="24"/>
          <w:lang w:val="en-US" w:eastAsia="es-AR"/>
        </w:rPr>
      </w:pPr>
      <w:r w:rsidRPr="00374C8F">
        <w:rPr>
          <w:rFonts w:eastAsia="Times New Roman"/>
          <w:color w:val="auto"/>
          <w:szCs w:val="24"/>
          <w:lang w:val="en-US" w:eastAsia="es-AR"/>
        </w:rPr>
        <w:br w:type="page"/>
      </w:r>
    </w:p>
    <w:p w14:paraId="69B5E859" w14:textId="77777777" w:rsidR="00CB1662" w:rsidRPr="00CB1662" w:rsidRDefault="006050C3" w:rsidP="002E4EFB">
      <w:pPr>
        <w:spacing w:line="480" w:lineRule="auto"/>
        <w:rPr>
          <w:color w:val="auto"/>
          <w:sz w:val="36"/>
          <w:szCs w:val="36"/>
        </w:rPr>
      </w:pPr>
      <w:r w:rsidRPr="00013E57">
        <w:rPr>
          <w:rFonts w:eastAsia="Times New Roman"/>
          <w:color w:val="auto"/>
          <w:szCs w:val="24"/>
          <w:lang w:eastAsia="es-AR"/>
        </w:rPr>
        <w:lastRenderedPageBreak/>
        <w:t>INTRODUCCIÓN</w:t>
      </w:r>
      <w:bookmarkEnd w:id="0"/>
    </w:p>
    <w:p w14:paraId="029F86A3" w14:textId="77777777" w:rsidR="006050C3" w:rsidRPr="00705C61" w:rsidRDefault="006050C3" w:rsidP="002E4EFB">
      <w:pPr>
        <w:spacing w:line="480" w:lineRule="auto"/>
        <w:jc w:val="both"/>
        <w:rPr>
          <w:rFonts w:eastAsia="Calibri"/>
          <w:iCs/>
          <w:color w:val="FF0000"/>
          <w:szCs w:val="24"/>
        </w:rPr>
      </w:pPr>
      <w:r w:rsidRPr="00380EC9">
        <w:rPr>
          <w:rFonts w:eastAsia="Times New Roman"/>
          <w:szCs w:val="24"/>
          <w:lang w:eastAsia="es-AR"/>
        </w:rPr>
        <w:t xml:space="preserve">La anemia es un problema clínico </w:t>
      </w:r>
      <w:r w:rsidR="00705C61" w:rsidRPr="00380EC9">
        <w:rPr>
          <w:rFonts w:eastAsia="Times New Roman"/>
          <w:szCs w:val="24"/>
          <w:lang w:eastAsia="es-AR"/>
        </w:rPr>
        <w:t>com</w:t>
      </w:r>
      <w:r w:rsidR="00705C61">
        <w:rPr>
          <w:rFonts w:eastAsia="Times New Roman"/>
          <w:szCs w:val="24"/>
          <w:lang w:eastAsia="es-AR"/>
        </w:rPr>
        <w:t>ún</w:t>
      </w:r>
      <w:r w:rsidRPr="00380EC9">
        <w:rPr>
          <w:rFonts w:eastAsia="Times New Roman"/>
          <w:szCs w:val="24"/>
          <w:lang w:eastAsia="es-AR"/>
        </w:rPr>
        <w:t xml:space="preserve"> en el paciente crítico</w:t>
      </w:r>
      <w:r w:rsidR="005C0611">
        <w:rPr>
          <w:rFonts w:eastAsia="Times New Roman"/>
          <w:szCs w:val="24"/>
          <w:lang w:eastAsia="es-AR"/>
        </w:rPr>
        <w:t xml:space="preserve"> que</w:t>
      </w:r>
      <w:r w:rsidRPr="002E4EFB">
        <w:rPr>
          <w:szCs w:val="24"/>
          <w:shd w:val="clear" w:color="auto" w:fill="FFFFFF"/>
        </w:rPr>
        <w:t xml:space="preserve"> se</w:t>
      </w:r>
      <w:r w:rsidRPr="00380EC9">
        <w:rPr>
          <w:rFonts w:ascii="Arial" w:hAnsi="Arial" w:cs="Arial"/>
          <w:szCs w:val="24"/>
          <w:shd w:val="clear" w:color="auto" w:fill="FFFFFF"/>
        </w:rPr>
        <w:t xml:space="preserve"> </w:t>
      </w:r>
      <w:r w:rsidRPr="002E4EFB">
        <w:rPr>
          <w:szCs w:val="24"/>
          <w:shd w:val="clear" w:color="auto" w:fill="FFFFFF"/>
        </w:rPr>
        <w:t>traduce en un alto requerimiento de transfusiones de glóbulos rojos</w:t>
      </w:r>
      <w:r w:rsidRPr="002E4EFB">
        <w:rPr>
          <w:szCs w:val="24"/>
          <w:shd w:val="clear" w:color="auto" w:fill="FFFFFF"/>
          <w:vertAlign w:val="superscript"/>
        </w:rPr>
        <w:t>1</w:t>
      </w:r>
      <w:r w:rsidRPr="002E4EFB">
        <w:rPr>
          <w:szCs w:val="24"/>
          <w:shd w:val="clear" w:color="auto" w:fill="FFFFFF"/>
        </w:rPr>
        <w:t xml:space="preserve">. </w:t>
      </w:r>
      <w:r w:rsidR="00AC4F24">
        <w:rPr>
          <w:rFonts w:eastAsia="Times New Roman"/>
          <w:szCs w:val="24"/>
          <w:lang w:eastAsia="es-AR"/>
        </w:rPr>
        <w:t>D</w:t>
      </w:r>
      <w:r w:rsidRPr="00380EC9">
        <w:rPr>
          <w:rFonts w:eastAsia="Times New Roman"/>
          <w:szCs w:val="24"/>
          <w:lang w:eastAsia="es-AR"/>
        </w:rPr>
        <w:t>efinida por la Organización Mu</w:t>
      </w:r>
      <w:r w:rsidR="00E90C5C">
        <w:rPr>
          <w:rFonts w:eastAsia="Times New Roman"/>
          <w:szCs w:val="24"/>
          <w:lang w:eastAsia="es-AR"/>
        </w:rPr>
        <w:t>ndial de la Salud como</w:t>
      </w:r>
      <w:r w:rsidRPr="00380EC9">
        <w:rPr>
          <w:rFonts w:eastAsia="Times New Roman"/>
          <w:szCs w:val="24"/>
          <w:lang w:eastAsia="es-AR"/>
        </w:rPr>
        <w:t xml:space="preserve"> h</w:t>
      </w:r>
      <w:r w:rsidR="009E6EDF">
        <w:rPr>
          <w:rFonts w:eastAsia="Times New Roman"/>
          <w:szCs w:val="24"/>
          <w:lang w:eastAsia="es-AR"/>
        </w:rPr>
        <w:t>emoglobina (Hb) &lt;</w:t>
      </w:r>
      <w:r w:rsidR="00B00308">
        <w:rPr>
          <w:rFonts w:eastAsia="Times New Roman"/>
          <w:szCs w:val="24"/>
          <w:lang w:eastAsia="es-AR"/>
        </w:rPr>
        <w:t>13</w:t>
      </w:r>
      <w:r w:rsidR="00190637">
        <w:rPr>
          <w:rFonts w:eastAsia="Times New Roman"/>
          <w:szCs w:val="24"/>
          <w:lang w:eastAsia="es-AR"/>
        </w:rPr>
        <w:t xml:space="preserve">g/dl en hombres y </w:t>
      </w:r>
      <w:r w:rsidR="00AC4F24">
        <w:rPr>
          <w:rFonts w:eastAsia="Times New Roman"/>
          <w:szCs w:val="24"/>
          <w:lang w:eastAsia="es-AR"/>
        </w:rPr>
        <w:t>&lt;</w:t>
      </w:r>
      <w:r w:rsidR="00190637">
        <w:rPr>
          <w:rFonts w:eastAsia="Times New Roman"/>
          <w:szCs w:val="24"/>
          <w:lang w:eastAsia="es-AR"/>
        </w:rPr>
        <w:t xml:space="preserve">12g/dl mujeres. Aproximadamente </w:t>
      </w:r>
      <w:r w:rsidRPr="00380EC9">
        <w:rPr>
          <w:rFonts w:eastAsia="Times New Roman"/>
          <w:szCs w:val="24"/>
          <w:lang w:eastAsia="es-AR"/>
        </w:rPr>
        <w:t xml:space="preserve"> 29% de los pacientes ingresados presentan una Hb </w:t>
      </w:r>
      <w:r w:rsidR="00C367DA">
        <w:rPr>
          <w:rFonts w:eastAsia="Times New Roman"/>
          <w:szCs w:val="24"/>
          <w:lang w:eastAsia="es-AR"/>
        </w:rPr>
        <w:t>&lt;</w:t>
      </w:r>
      <w:r w:rsidRPr="00380EC9">
        <w:rPr>
          <w:rFonts w:eastAsia="Times New Roman"/>
          <w:szCs w:val="24"/>
          <w:lang w:eastAsia="es-AR"/>
        </w:rPr>
        <w:t>10g/dl</w:t>
      </w:r>
      <w:r w:rsidRPr="00380EC9">
        <w:rPr>
          <w:rFonts w:eastAsia="Times New Roman"/>
          <w:szCs w:val="24"/>
          <w:vertAlign w:val="superscript"/>
          <w:lang w:eastAsia="es-AR"/>
        </w:rPr>
        <w:t>2,3</w:t>
      </w:r>
      <w:r w:rsidRPr="00380EC9">
        <w:rPr>
          <w:rFonts w:eastAsia="Times New Roman"/>
          <w:szCs w:val="24"/>
          <w:lang w:eastAsia="es-AR"/>
        </w:rPr>
        <w:t>. El 95% de los pacientes crític</w:t>
      </w:r>
      <w:r w:rsidR="00705C61">
        <w:rPr>
          <w:rFonts w:eastAsia="Times New Roman"/>
          <w:szCs w:val="24"/>
          <w:lang w:eastAsia="es-AR"/>
        </w:rPr>
        <w:t>os</w:t>
      </w:r>
      <w:r w:rsidRPr="00380EC9">
        <w:rPr>
          <w:rFonts w:eastAsia="Times New Roman"/>
          <w:szCs w:val="24"/>
          <w:lang w:eastAsia="es-AR"/>
        </w:rPr>
        <w:t xml:space="preserve"> que permanecen en las unidades de cuidados intensivos (UCIs) </w:t>
      </w:r>
      <w:r w:rsidR="00B00308">
        <w:rPr>
          <w:rFonts w:eastAsia="Times New Roman"/>
          <w:szCs w:val="24"/>
          <w:lang w:eastAsia="es-AR"/>
        </w:rPr>
        <w:t>72 horas o más sufren</w:t>
      </w:r>
      <w:r w:rsidRPr="00380EC9">
        <w:rPr>
          <w:rFonts w:eastAsia="Times New Roman"/>
          <w:szCs w:val="24"/>
          <w:lang w:eastAsia="es-AR"/>
        </w:rPr>
        <w:t xml:space="preserve"> anemia y</w:t>
      </w:r>
      <w:r w:rsidR="00705C61">
        <w:rPr>
          <w:rFonts w:eastAsia="Times New Roman"/>
          <w:szCs w:val="24"/>
          <w:lang w:eastAsia="es-AR"/>
        </w:rPr>
        <w:t xml:space="preserve"> aproximadamente</w:t>
      </w:r>
      <w:r w:rsidRPr="00380EC9">
        <w:rPr>
          <w:rFonts w:eastAsia="Times New Roman"/>
          <w:szCs w:val="24"/>
          <w:lang w:eastAsia="es-AR"/>
        </w:rPr>
        <w:t xml:space="preserve"> 40% de ellos reciben transfusiones de glóbulos rojos alogénica (GRA)</w:t>
      </w:r>
      <w:r w:rsidR="0054595D">
        <w:rPr>
          <w:rFonts w:eastAsia="Times New Roman"/>
          <w:szCs w:val="24"/>
          <w:vertAlign w:val="superscript"/>
          <w:lang w:eastAsia="es-AR"/>
        </w:rPr>
        <w:t>2,</w:t>
      </w:r>
      <w:r w:rsidRPr="00380EC9">
        <w:rPr>
          <w:rFonts w:eastAsia="Times New Roman"/>
          <w:szCs w:val="24"/>
          <w:vertAlign w:val="superscript"/>
          <w:lang w:eastAsia="es-AR"/>
        </w:rPr>
        <w:t>3</w:t>
      </w:r>
      <w:r w:rsidR="005E6FD4">
        <w:rPr>
          <w:rFonts w:eastAsia="Times New Roman"/>
          <w:szCs w:val="24"/>
          <w:lang w:eastAsia="es-AR"/>
        </w:rPr>
        <w:t>;</w:t>
      </w:r>
      <w:r w:rsidRPr="00380EC9">
        <w:rPr>
          <w:rFonts w:eastAsia="Times New Roman"/>
          <w:szCs w:val="24"/>
          <w:lang w:eastAsia="es-AR"/>
        </w:rPr>
        <w:t xml:space="preserve"> pero la base fisiológica para la transfusión en el paciente crítico no está exenta de controver</w:t>
      </w:r>
      <w:r w:rsidR="00E34B89">
        <w:rPr>
          <w:rFonts w:eastAsia="Times New Roman"/>
          <w:szCs w:val="24"/>
          <w:lang w:eastAsia="es-AR"/>
        </w:rPr>
        <w:t>sia</w:t>
      </w:r>
      <w:r w:rsidRPr="00380EC9">
        <w:rPr>
          <w:rFonts w:eastAsia="Times New Roman"/>
          <w:szCs w:val="24"/>
          <w:vertAlign w:val="superscript"/>
          <w:lang w:eastAsia="es-AR"/>
        </w:rPr>
        <w:t>4</w:t>
      </w:r>
      <w:r w:rsidRPr="00380EC9">
        <w:rPr>
          <w:rFonts w:eastAsia="Times New Roman"/>
          <w:szCs w:val="24"/>
          <w:lang w:eastAsia="es-AR"/>
        </w:rPr>
        <w:t>.</w:t>
      </w:r>
      <w:r w:rsidRPr="00380EC9">
        <w:rPr>
          <w:rFonts w:eastAsia="Times New Roman"/>
          <w:szCs w:val="24"/>
          <w:vertAlign w:val="superscript"/>
          <w:lang w:eastAsia="es-AR"/>
        </w:rPr>
        <w:t xml:space="preserve"> </w:t>
      </w:r>
      <w:r w:rsidRPr="00380EC9">
        <w:rPr>
          <w:rFonts w:eastAsia="Times New Roman"/>
          <w:szCs w:val="24"/>
          <w:lang w:eastAsia="es-AR"/>
        </w:rPr>
        <w:t>En las dos últimas décadas las prácticas de transfusión se han vuelto</w:t>
      </w:r>
      <w:r w:rsidR="005E6FD4">
        <w:rPr>
          <w:rFonts w:eastAsia="Times New Roman"/>
          <w:szCs w:val="24"/>
          <w:lang w:eastAsia="es-AR"/>
        </w:rPr>
        <w:t xml:space="preserve"> más restrictivas </w:t>
      </w:r>
      <w:r w:rsidR="00B00308">
        <w:rPr>
          <w:rFonts w:eastAsia="Times New Roman"/>
          <w:szCs w:val="24"/>
          <w:lang w:eastAsia="es-AR"/>
        </w:rPr>
        <w:t>en respuesta a</w:t>
      </w:r>
      <w:r w:rsidR="00A17574">
        <w:rPr>
          <w:rFonts w:eastAsia="Times New Roman"/>
          <w:szCs w:val="24"/>
          <w:lang w:eastAsia="es-AR"/>
        </w:rPr>
        <w:t xml:space="preserve"> </w:t>
      </w:r>
      <w:r w:rsidR="00AD417D">
        <w:rPr>
          <w:rFonts w:eastAsia="Times New Roman"/>
          <w:szCs w:val="24"/>
          <w:lang w:eastAsia="es-AR"/>
        </w:rPr>
        <w:t xml:space="preserve">numerosas </w:t>
      </w:r>
      <w:r w:rsidR="00A17574">
        <w:rPr>
          <w:rFonts w:eastAsia="Times New Roman"/>
          <w:szCs w:val="24"/>
          <w:lang w:eastAsia="es-AR"/>
        </w:rPr>
        <w:t>investigaciones.</w:t>
      </w:r>
      <w:r w:rsidR="002E4EFB">
        <w:rPr>
          <w:rFonts w:eastAsia="Times New Roman"/>
          <w:szCs w:val="24"/>
          <w:lang w:eastAsia="es-AR"/>
        </w:rPr>
        <w:t xml:space="preserve"> </w:t>
      </w:r>
    </w:p>
    <w:p w14:paraId="3CFCC8B2" w14:textId="77777777" w:rsidR="00AE20EE" w:rsidRPr="00EA512B" w:rsidRDefault="00AE20EE" w:rsidP="00AE20EE">
      <w:pPr>
        <w:spacing w:after="0" w:line="480" w:lineRule="auto"/>
        <w:jc w:val="both"/>
        <w:rPr>
          <w:rFonts w:eastAsia="Arial Unicode MS"/>
          <w:b/>
          <w:i/>
          <w:szCs w:val="24"/>
          <w:shd w:val="clear" w:color="auto" w:fill="FFFFFF"/>
          <w:vertAlign w:val="superscript"/>
        </w:rPr>
      </w:pPr>
      <w:r w:rsidRPr="00EA512B">
        <w:rPr>
          <w:rFonts w:eastAsia="Arial Unicode MS"/>
          <w:b/>
          <w:i/>
          <w:szCs w:val="24"/>
          <w:shd w:val="clear" w:color="auto" w:fill="FFFFFF"/>
        </w:rPr>
        <w:t>Pacientes críticos</w:t>
      </w:r>
    </w:p>
    <w:p w14:paraId="48AC3852" w14:textId="77777777" w:rsidR="00AE20EE" w:rsidRPr="00AE20EE" w:rsidRDefault="00AE20EE" w:rsidP="00AE20EE">
      <w:pPr>
        <w:spacing w:after="0" w:line="480" w:lineRule="auto"/>
        <w:jc w:val="both"/>
        <w:rPr>
          <w:color w:val="auto"/>
          <w:szCs w:val="24"/>
        </w:rPr>
      </w:pPr>
      <w:r w:rsidRPr="002B4E72">
        <w:rPr>
          <w:rFonts w:eastAsia="Arial Unicode MS"/>
          <w:szCs w:val="24"/>
          <w:shd w:val="clear" w:color="auto" w:fill="FFFFFF"/>
        </w:rPr>
        <w:t>Estudios observacionales multicentrico</w:t>
      </w:r>
      <w:r w:rsidR="0073386B">
        <w:rPr>
          <w:rFonts w:eastAsia="Arial Unicode MS"/>
          <w:szCs w:val="24"/>
          <w:shd w:val="clear" w:color="auto" w:fill="FFFFFF"/>
        </w:rPr>
        <w:t>s evidencian asociación entre transfusión de GRA e</w:t>
      </w:r>
      <w:r w:rsidRPr="002B4E72">
        <w:rPr>
          <w:rFonts w:eastAsia="Arial Unicode MS"/>
          <w:szCs w:val="24"/>
          <w:shd w:val="clear" w:color="auto" w:fill="FFFFFF"/>
        </w:rPr>
        <w:t xml:space="preserve"> incremento de la morbimortalidad (dosis-dependiente) en pacientes críticos</w:t>
      </w:r>
      <w:r>
        <w:rPr>
          <w:rFonts w:eastAsia="Arial Unicode MS"/>
          <w:szCs w:val="24"/>
          <w:shd w:val="clear" w:color="auto" w:fill="FFFFFF"/>
          <w:vertAlign w:val="superscript"/>
        </w:rPr>
        <w:t>7</w:t>
      </w:r>
      <w:r>
        <w:rPr>
          <w:rFonts w:eastAsia="Arial Unicode MS"/>
          <w:szCs w:val="24"/>
          <w:shd w:val="clear" w:color="auto" w:fill="FFFFFF"/>
        </w:rPr>
        <w:t>.</w:t>
      </w:r>
      <w:r w:rsidRPr="002B4E72">
        <w:rPr>
          <w:rFonts w:eastAsia="Arial Unicode MS"/>
          <w:szCs w:val="24"/>
          <w:shd w:val="clear" w:color="auto" w:fill="FFFFFF"/>
          <w:vertAlign w:val="superscript"/>
        </w:rPr>
        <w:t xml:space="preserve"> </w:t>
      </w:r>
      <w:r w:rsidR="00E2079B" w:rsidRPr="002560D5">
        <w:rPr>
          <w:szCs w:val="24"/>
        </w:rPr>
        <w:t>Vincent et al</w:t>
      </w:r>
      <w:r w:rsidR="00E2079B">
        <w:rPr>
          <w:szCs w:val="24"/>
        </w:rPr>
        <w:t>, en e</w:t>
      </w:r>
      <w:r w:rsidRPr="002B4E72">
        <w:rPr>
          <w:rFonts w:eastAsia="Arial Unicode MS"/>
          <w:szCs w:val="24"/>
          <w:shd w:val="clear" w:color="auto" w:fill="FFFFFF"/>
        </w:rPr>
        <w:t xml:space="preserve">l estudio </w:t>
      </w:r>
      <w:r w:rsidRPr="00BD4538">
        <w:rPr>
          <w:rFonts w:eastAsia="Arial Unicode MS"/>
          <w:color w:val="auto"/>
          <w:szCs w:val="24"/>
          <w:shd w:val="clear" w:color="auto" w:fill="FFFFFF"/>
        </w:rPr>
        <w:t>ABC</w:t>
      </w:r>
      <w:r w:rsidR="00E34B89">
        <w:rPr>
          <w:rFonts w:eastAsia="Arial Unicode MS"/>
          <w:color w:val="auto"/>
          <w:szCs w:val="24"/>
          <w:shd w:val="clear" w:color="auto" w:fill="FFFFFF"/>
        </w:rPr>
        <w:t>,</w:t>
      </w:r>
      <w:r w:rsidRPr="00BD4538">
        <w:rPr>
          <w:rFonts w:eastAsia="Arial Unicode MS"/>
          <w:color w:val="auto"/>
          <w:szCs w:val="24"/>
          <w:shd w:val="clear" w:color="auto" w:fill="FFFFFF"/>
          <w:vertAlign w:val="superscript"/>
        </w:rPr>
        <w:t>3</w:t>
      </w:r>
      <w:r w:rsidR="00D1218D" w:rsidRPr="00BD4538">
        <w:rPr>
          <w:color w:val="auto"/>
          <w:szCs w:val="24"/>
        </w:rPr>
        <w:t xml:space="preserve"> (Anemia and blood tranfusions in critically ill patients: </w:t>
      </w:r>
      <w:r w:rsidRPr="00BD4538">
        <w:rPr>
          <w:rFonts w:eastAsia="Arial Unicode MS"/>
          <w:color w:val="auto"/>
          <w:szCs w:val="24"/>
          <w:shd w:val="clear" w:color="auto" w:fill="FFFFFF"/>
        </w:rPr>
        <w:t>146 UCI europeas, N=3.534 casos) reveló incremento de la estancia, del porcentaje de disfunción multiorgánica y mortalidad en pacientes receptores de transfusión</w:t>
      </w:r>
      <w:r w:rsidRPr="00BD4538">
        <w:rPr>
          <w:rStyle w:val="apple-converted-space"/>
          <w:rFonts w:eastAsia="Arial Unicode MS"/>
          <w:color w:val="auto"/>
          <w:szCs w:val="24"/>
          <w:shd w:val="clear" w:color="auto" w:fill="FFFFFF"/>
        </w:rPr>
        <w:t xml:space="preserve">.  </w:t>
      </w:r>
      <w:r w:rsidRPr="00BD4538">
        <w:rPr>
          <w:rFonts w:eastAsia="Arial Unicode MS"/>
          <w:color w:val="auto"/>
          <w:szCs w:val="24"/>
          <w:shd w:val="clear" w:color="auto" w:fill="FFFFFF"/>
        </w:rPr>
        <w:t>El estudio CRIT</w:t>
      </w:r>
      <w:r w:rsidRPr="00BD4538">
        <w:rPr>
          <w:rFonts w:eastAsia="Arial Unicode MS"/>
          <w:color w:val="auto"/>
          <w:szCs w:val="24"/>
          <w:shd w:val="clear" w:color="auto" w:fill="FFFFFF"/>
          <w:vertAlign w:val="superscript"/>
        </w:rPr>
        <w:t>2</w:t>
      </w:r>
      <w:r w:rsidR="00D1218D" w:rsidRPr="00BD4538">
        <w:rPr>
          <w:rFonts w:eastAsia="Arial Unicode MS"/>
          <w:color w:val="auto"/>
          <w:szCs w:val="24"/>
          <w:shd w:val="clear" w:color="auto" w:fill="FFFFFF"/>
          <w:vertAlign w:val="superscript"/>
        </w:rPr>
        <w:t>,</w:t>
      </w:r>
      <w:r w:rsidRPr="00BD4538">
        <w:rPr>
          <w:color w:val="auto"/>
          <w:szCs w:val="24"/>
          <w:vertAlign w:val="superscript"/>
        </w:rPr>
        <w:t xml:space="preserve">30 </w:t>
      </w:r>
      <w:r w:rsidRPr="00BD4538">
        <w:rPr>
          <w:color w:val="auto"/>
          <w:szCs w:val="24"/>
        </w:rPr>
        <w:t>(Anemia and</w:t>
      </w:r>
      <w:r w:rsidRPr="008524E7">
        <w:rPr>
          <w:color w:val="0070C0"/>
          <w:szCs w:val="24"/>
        </w:rPr>
        <w:t xml:space="preserve"> </w:t>
      </w:r>
      <w:r w:rsidRPr="00BD4538">
        <w:rPr>
          <w:color w:val="auto"/>
          <w:szCs w:val="24"/>
        </w:rPr>
        <w:t>blood tranfusions in the criti</w:t>
      </w:r>
      <w:r w:rsidR="00BD4538" w:rsidRPr="00BD4538">
        <w:rPr>
          <w:color w:val="auto"/>
          <w:szCs w:val="24"/>
        </w:rPr>
        <w:t>cally ill patients</w:t>
      </w:r>
      <w:r w:rsidRPr="00BD4538">
        <w:rPr>
          <w:color w:val="auto"/>
          <w:szCs w:val="24"/>
        </w:rPr>
        <w:t xml:space="preserve">: </w:t>
      </w:r>
      <w:r w:rsidRPr="00BD4538">
        <w:rPr>
          <w:rFonts w:eastAsia="Arial Unicode MS"/>
          <w:color w:val="auto"/>
          <w:szCs w:val="24"/>
          <w:shd w:val="clear" w:color="auto" w:fill="FFFFFF"/>
        </w:rPr>
        <w:t>284</w:t>
      </w:r>
      <w:r w:rsidRPr="002B4E72">
        <w:rPr>
          <w:rFonts w:eastAsia="Arial Unicode MS"/>
          <w:szCs w:val="24"/>
          <w:shd w:val="clear" w:color="auto" w:fill="FFFFFF"/>
        </w:rPr>
        <w:t xml:space="preserve"> UCI en EE</w:t>
      </w:r>
      <w:r>
        <w:rPr>
          <w:rFonts w:eastAsia="Arial Unicode MS"/>
          <w:szCs w:val="24"/>
          <w:shd w:val="clear" w:color="auto" w:fill="FFFFFF"/>
        </w:rPr>
        <w:t>.UU., N=4.892 casos) confirmó</w:t>
      </w:r>
      <w:r w:rsidRPr="002B4E72">
        <w:rPr>
          <w:rFonts w:eastAsia="Arial Unicode MS"/>
          <w:szCs w:val="24"/>
          <w:shd w:val="clear" w:color="auto" w:fill="FFFFFF"/>
        </w:rPr>
        <w:t xml:space="preserve"> incremento en la estancia y mortalidad</w:t>
      </w:r>
      <w:r>
        <w:rPr>
          <w:rFonts w:eastAsia="Arial Unicode MS"/>
          <w:szCs w:val="24"/>
          <w:shd w:val="clear" w:color="auto" w:fill="FFFFFF"/>
        </w:rPr>
        <w:t xml:space="preserve">. </w:t>
      </w:r>
      <w:r w:rsidRPr="002B4E72">
        <w:rPr>
          <w:rFonts w:eastAsia="Arial Unicode MS"/>
          <w:szCs w:val="24"/>
          <w:shd w:val="clear" w:color="auto" w:fill="FFFFFF"/>
        </w:rPr>
        <w:t xml:space="preserve">Sin embargo, el estudio </w:t>
      </w:r>
      <w:r w:rsidRPr="00BD4538">
        <w:rPr>
          <w:rFonts w:eastAsia="Arial Unicode MS"/>
          <w:color w:val="auto"/>
          <w:szCs w:val="24"/>
          <w:shd w:val="clear" w:color="auto" w:fill="FFFFFF"/>
        </w:rPr>
        <w:t>SOAP</w:t>
      </w:r>
      <w:r w:rsidRPr="00BD4538">
        <w:rPr>
          <w:rFonts w:eastAsia="Arial Unicode MS"/>
          <w:color w:val="auto"/>
          <w:szCs w:val="24"/>
          <w:shd w:val="clear" w:color="auto" w:fill="FFFFFF"/>
          <w:vertAlign w:val="superscript"/>
        </w:rPr>
        <w:t>44</w:t>
      </w:r>
      <w:r w:rsidR="00D1218D" w:rsidRPr="00BD4538">
        <w:rPr>
          <w:color w:val="auto"/>
          <w:szCs w:val="24"/>
        </w:rPr>
        <w:t xml:space="preserve"> (sepsis occurrence in acutely ill patients: </w:t>
      </w:r>
      <w:r w:rsidR="00645B28">
        <w:rPr>
          <w:rFonts w:eastAsia="Arial Unicode MS"/>
          <w:color w:val="auto"/>
          <w:szCs w:val="24"/>
          <w:shd w:val="clear" w:color="auto" w:fill="FFFFFF"/>
        </w:rPr>
        <w:t>198 UCI europeas, N=3147</w:t>
      </w:r>
      <w:r w:rsidRPr="00BD4538">
        <w:rPr>
          <w:rFonts w:eastAsia="Arial Unicode MS"/>
          <w:color w:val="auto"/>
          <w:szCs w:val="24"/>
          <w:shd w:val="clear" w:color="auto" w:fill="FFFFFF"/>
        </w:rPr>
        <w:t>), el análisis multivariante no demostró</w:t>
      </w:r>
      <w:r>
        <w:rPr>
          <w:rFonts w:eastAsia="Arial Unicode MS"/>
          <w:szCs w:val="24"/>
          <w:shd w:val="clear" w:color="auto" w:fill="FFFFFF"/>
        </w:rPr>
        <w:t xml:space="preserve"> una asociación entre las </w:t>
      </w:r>
      <w:r w:rsidRPr="00AE20EE">
        <w:rPr>
          <w:rFonts w:eastAsia="Arial Unicode MS"/>
          <w:color w:val="auto"/>
          <w:szCs w:val="24"/>
          <w:shd w:val="clear" w:color="auto" w:fill="FFFFFF"/>
        </w:rPr>
        <w:t xml:space="preserve">transfusiones de GRA y peor pronóstico (RR 0,89, p=0,159) igual </w:t>
      </w:r>
      <w:r w:rsidRPr="00AE20EE">
        <w:rPr>
          <w:color w:val="auto"/>
          <w:szCs w:val="24"/>
        </w:rPr>
        <w:t xml:space="preserve">el </w:t>
      </w:r>
      <w:r w:rsidR="006B3FE9">
        <w:rPr>
          <w:color w:val="auto"/>
          <w:szCs w:val="24"/>
        </w:rPr>
        <w:t xml:space="preserve">estudio </w:t>
      </w:r>
      <w:r w:rsidRPr="00AE20EE">
        <w:rPr>
          <w:color w:val="auto"/>
          <w:szCs w:val="24"/>
        </w:rPr>
        <w:t>de Dae Won Park</w:t>
      </w:r>
      <w:r w:rsidRPr="00AE20EE">
        <w:rPr>
          <w:color w:val="auto"/>
          <w:szCs w:val="24"/>
          <w:vertAlign w:val="superscript"/>
        </w:rPr>
        <w:t>54</w:t>
      </w:r>
      <w:r w:rsidRPr="00AE20EE">
        <w:rPr>
          <w:color w:val="auto"/>
          <w:szCs w:val="24"/>
        </w:rPr>
        <w:t xml:space="preserve">  </w:t>
      </w:r>
    </w:p>
    <w:p w14:paraId="11F98299" w14:textId="77777777" w:rsidR="00AE20EE" w:rsidRDefault="00D1218D" w:rsidP="00AE20EE">
      <w:pPr>
        <w:spacing w:after="0" w:line="480" w:lineRule="auto"/>
        <w:jc w:val="both"/>
        <w:rPr>
          <w:rStyle w:val="apple-converted-space"/>
          <w:szCs w:val="24"/>
          <w:shd w:val="clear" w:color="auto" w:fill="FFFFFF"/>
        </w:rPr>
      </w:pPr>
      <w:r>
        <w:rPr>
          <w:rFonts w:eastAsia="Arial Unicode MS"/>
          <w:szCs w:val="24"/>
          <w:shd w:val="clear" w:color="auto" w:fill="FFFFFF"/>
        </w:rPr>
        <w:t>El</w:t>
      </w:r>
      <w:r w:rsidR="00AE20EE" w:rsidRPr="002B4E72">
        <w:rPr>
          <w:rFonts w:eastAsia="Arial Unicode MS"/>
          <w:szCs w:val="24"/>
          <w:shd w:val="clear" w:color="auto" w:fill="FFFFFF"/>
        </w:rPr>
        <w:t xml:space="preserve"> </w:t>
      </w:r>
      <w:r w:rsidR="00AE20EE">
        <w:rPr>
          <w:rFonts w:eastAsia="Arial Unicode MS"/>
          <w:szCs w:val="24"/>
          <w:shd w:val="clear" w:color="auto" w:fill="FFFFFF"/>
        </w:rPr>
        <w:t>trabajo</w:t>
      </w:r>
      <w:r w:rsidR="00AE20EE" w:rsidRPr="002B4E72">
        <w:rPr>
          <w:rFonts w:eastAsia="Arial Unicode MS"/>
          <w:szCs w:val="24"/>
          <w:shd w:val="clear" w:color="auto" w:fill="FFFFFF"/>
        </w:rPr>
        <w:t xml:space="preserve"> de Marik et al</w:t>
      </w:r>
      <w:r w:rsidR="00AE20EE" w:rsidRPr="002B4E72">
        <w:rPr>
          <w:szCs w:val="24"/>
          <w:vertAlign w:val="superscript"/>
        </w:rPr>
        <w:t>6</w:t>
      </w:r>
      <w:r w:rsidR="00AE20EE" w:rsidRPr="002B4E72">
        <w:rPr>
          <w:rFonts w:eastAsia="Arial Unicode MS"/>
          <w:szCs w:val="24"/>
          <w:shd w:val="clear" w:color="auto" w:fill="FFFFFF"/>
        </w:rPr>
        <w:t xml:space="preserve"> (45 estudios con 27</w:t>
      </w:r>
      <w:r>
        <w:rPr>
          <w:rFonts w:eastAsia="Arial Unicode MS"/>
          <w:szCs w:val="24"/>
          <w:shd w:val="clear" w:color="auto" w:fill="FFFFFF"/>
        </w:rPr>
        <w:t>2.596 pacientes) determin</w:t>
      </w:r>
      <w:r w:rsidR="00AE20EE">
        <w:rPr>
          <w:rFonts w:eastAsia="Arial Unicode MS"/>
          <w:szCs w:val="24"/>
          <w:shd w:val="clear" w:color="auto" w:fill="FFFFFF"/>
        </w:rPr>
        <w:t>a la transfusión de GRA</w:t>
      </w:r>
      <w:r w:rsidR="00AE20EE" w:rsidRPr="002B4E72">
        <w:rPr>
          <w:rFonts w:eastAsia="Arial Unicode MS"/>
          <w:szCs w:val="24"/>
          <w:shd w:val="clear" w:color="auto" w:fill="FFFFFF"/>
        </w:rPr>
        <w:t xml:space="preserve"> como factor predictor independiente de</w:t>
      </w:r>
      <w:r w:rsidR="00AE20EE">
        <w:rPr>
          <w:rFonts w:eastAsia="Arial Unicode MS"/>
          <w:szCs w:val="24"/>
          <w:shd w:val="clear" w:color="auto" w:fill="FFFFFF"/>
        </w:rPr>
        <w:t xml:space="preserve">: </w:t>
      </w:r>
      <w:r w:rsidR="00AE20EE" w:rsidRPr="002B4E72">
        <w:rPr>
          <w:rFonts w:eastAsia="Arial Unicode MS"/>
          <w:szCs w:val="24"/>
          <w:shd w:val="clear" w:color="auto" w:fill="FFFFFF"/>
        </w:rPr>
        <w:t xml:space="preserve">mortalidad (OR 1,7), infección nosocomial y distres respiratorio agudo en </w:t>
      </w:r>
      <w:r w:rsidR="00AE20EE">
        <w:rPr>
          <w:rFonts w:eastAsia="Arial Unicode MS"/>
          <w:szCs w:val="24"/>
          <w:shd w:val="clear" w:color="auto" w:fill="FFFFFF"/>
        </w:rPr>
        <w:t xml:space="preserve">el paciente crítico. </w:t>
      </w:r>
      <w:r w:rsidR="00AE20EE" w:rsidRPr="002B4E72">
        <w:rPr>
          <w:rFonts w:eastAsia="Arial Unicode MS"/>
          <w:szCs w:val="24"/>
          <w:shd w:val="clear" w:color="auto" w:fill="FFFFFF"/>
        </w:rPr>
        <w:t>El estudio retrospectivo de Khorana et al</w:t>
      </w:r>
      <w:r w:rsidR="00AE20EE" w:rsidRPr="002B4E72">
        <w:rPr>
          <w:szCs w:val="24"/>
          <w:vertAlign w:val="superscript"/>
        </w:rPr>
        <w:t>5</w:t>
      </w:r>
      <w:r w:rsidR="00AE20EE" w:rsidRPr="002B4E72">
        <w:rPr>
          <w:rFonts w:eastAsia="Arial Unicode MS"/>
          <w:szCs w:val="24"/>
          <w:shd w:val="clear" w:color="auto" w:fill="FFFFFF"/>
        </w:rPr>
        <w:t xml:space="preserve"> (multicentrico, N=504.208 pacientes </w:t>
      </w:r>
      <w:r w:rsidR="00087DD7">
        <w:rPr>
          <w:rFonts w:eastAsia="Arial Unicode MS"/>
          <w:szCs w:val="24"/>
          <w:shd w:val="clear" w:color="auto" w:fill="FFFFFF"/>
        </w:rPr>
        <w:t>neoplásicos</w:t>
      </w:r>
      <w:r w:rsidR="00087DD7" w:rsidRPr="002B4E72">
        <w:rPr>
          <w:rFonts w:eastAsia="Arial Unicode MS"/>
          <w:szCs w:val="24"/>
          <w:shd w:val="clear" w:color="auto" w:fill="FFFFFF"/>
        </w:rPr>
        <w:t xml:space="preserve"> </w:t>
      </w:r>
      <w:r w:rsidR="00087DD7">
        <w:rPr>
          <w:rFonts w:eastAsia="Arial Unicode MS"/>
          <w:szCs w:val="24"/>
          <w:shd w:val="clear" w:color="auto" w:fill="FFFFFF"/>
        </w:rPr>
        <w:t>hospitalizados</w:t>
      </w:r>
      <w:r>
        <w:rPr>
          <w:rFonts w:eastAsia="Arial Unicode MS"/>
          <w:szCs w:val="24"/>
          <w:shd w:val="clear" w:color="auto" w:fill="FFFFFF"/>
        </w:rPr>
        <w:t>) muestra</w:t>
      </w:r>
      <w:r w:rsidR="00AE20EE" w:rsidRPr="002B4E72">
        <w:rPr>
          <w:rFonts w:eastAsia="Arial Unicode MS"/>
          <w:szCs w:val="24"/>
          <w:shd w:val="clear" w:color="auto" w:fill="FFFFFF"/>
        </w:rPr>
        <w:t xml:space="preserve"> </w:t>
      </w:r>
      <w:r w:rsidR="0073386B">
        <w:rPr>
          <w:rFonts w:eastAsia="Arial Unicode MS"/>
          <w:szCs w:val="24"/>
          <w:shd w:val="clear" w:color="auto" w:fill="FFFFFF"/>
        </w:rPr>
        <w:t>incremento</w:t>
      </w:r>
      <w:r w:rsidR="00AE20EE" w:rsidRPr="002B4E72">
        <w:rPr>
          <w:rFonts w:eastAsia="Arial Unicode MS"/>
          <w:szCs w:val="24"/>
          <w:shd w:val="clear" w:color="auto" w:fill="FFFFFF"/>
        </w:rPr>
        <w:t xml:space="preserve"> </w:t>
      </w:r>
      <w:r w:rsidR="00AE20EE" w:rsidRPr="002B4E72">
        <w:rPr>
          <w:rFonts w:eastAsia="Arial Unicode MS"/>
          <w:szCs w:val="24"/>
          <w:shd w:val="clear" w:color="auto" w:fill="FFFFFF"/>
        </w:rPr>
        <w:lastRenderedPageBreak/>
        <w:t>significativo</w:t>
      </w:r>
      <w:r w:rsidR="0073386B">
        <w:rPr>
          <w:rFonts w:eastAsia="Arial Unicode MS"/>
          <w:szCs w:val="24"/>
          <w:shd w:val="clear" w:color="auto" w:fill="FFFFFF"/>
        </w:rPr>
        <w:t xml:space="preserve"> de riesgo</w:t>
      </w:r>
      <w:r w:rsidR="00AE20EE" w:rsidRPr="002B4E72">
        <w:rPr>
          <w:rFonts w:eastAsia="Arial Unicode MS"/>
          <w:szCs w:val="24"/>
          <w:shd w:val="clear" w:color="auto" w:fill="FFFFFF"/>
        </w:rPr>
        <w:t xml:space="preserve"> de tromboembolismo venoso, arterial y mortalidad hospitalaria</w:t>
      </w:r>
      <w:r w:rsidR="00AE20EE">
        <w:rPr>
          <w:rFonts w:eastAsia="Arial Unicode MS"/>
          <w:szCs w:val="24"/>
          <w:shd w:val="clear" w:color="auto" w:fill="FFFFFF"/>
        </w:rPr>
        <w:t xml:space="preserve"> </w:t>
      </w:r>
      <w:r w:rsidR="00AE20EE" w:rsidRPr="002B4E72">
        <w:rPr>
          <w:rFonts w:eastAsia="Arial Unicode MS"/>
          <w:szCs w:val="24"/>
          <w:shd w:val="clear" w:color="auto" w:fill="FFFFFF"/>
        </w:rPr>
        <w:t>(OR 1,3</w:t>
      </w:r>
      <w:r w:rsidR="00AE20EE">
        <w:rPr>
          <w:rFonts w:eastAsia="Arial Unicode MS"/>
          <w:szCs w:val="24"/>
          <w:shd w:val="clear" w:color="auto" w:fill="FFFFFF"/>
        </w:rPr>
        <w:t>).</w:t>
      </w:r>
      <w:r w:rsidR="00AE20EE" w:rsidRPr="002B4E72">
        <w:rPr>
          <w:rFonts w:eastAsia="Arial Unicode MS"/>
          <w:szCs w:val="24"/>
          <w:shd w:val="clear" w:color="auto" w:fill="FFFFFF"/>
        </w:rPr>
        <w:t xml:space="preserve"> </w:t>
      </w:r>
      <w:r w:rsidR="00AE20EE">
        <w:rPr>
          <w:rFonts w:eastAsia="Arial Unicode MS"/>
          <w:szCs w:val="24"/>
          <w:shd w:val="clear" w:color="auto" w:fill="FFFFFF"/>
        </w:rPr>
        <w:t>E</w:t>
      </w:r>
      <w:r w:rsidR="00AE20EE" w:rsidRPr="002B4E72">
        <w:rPr>
          <w:rFonts w:eastAsia="Arial Unicode MS"/>
          <w:szCs w:val="24"/>
          <w:shd w:val="clear" w:color="auto" w:fill="FFFFFF"/>
        </w:rPr>
        <w:t xml:space="preserve">s necesaria </w:t>
      </w:r>
      <w:r w:rsidR="00AE20EE">
        <w:rPr>
          <w:rFonts w:eastAsia="Arial Unicode MS"/>
          <w:szCs w:val="24"/>
          <w:shd w:val="clear" w:color="auto" w:fill="FFFFFF"/>
        </w:rPr>
        <w:t xml:space="preserve">mas evidencia </w:t>
      </w:r>
      <w:r w:rsidR="00AE20EE" w:rsidRPr="002B4E72">
        <w:rPr>
          <w:rFonts w:eastAsia="Arial Unicode MS"/>
          <w:szCs w:val="24"/>
          <w:shd w:val="clear" w:color="auto" w:fill="FFFFFF"/>
        </w:rPr>
        <w:t xml:space="preserve">para determinar si esta relación es causal. </w:t>
      </w:r>
      <w:r w:rsidR="00AE20EE" w:rsidRPr="002B4E72">
        <w:rPr>
          <w:rStyle w:val="apple-converted-space"/>
          <w:szCs w:val="24"/>
          <w:shd w:val="clear" w:color="auto" w:fill="FFFFFF"/>
        </w:rPr>
        <w:t> </w:t>
      </w:r>
    </w:p>
    <w:p w14:paraId="2C13F522" w14:textId="77777777" w:rsidR="006050C3" w:rsidRPr="007744E8" w:rsidRDefault="006050C3" w:rsidP="002E4EFB">
      <w:pPr>
        <w:spacing w:after="0" w:line="480" w:lineRule="auto"/>
        <w:jc w:val="both"/>
        <w:rPr>
          <w:color w:val="auto"/>
          <w:szCs w:val="24"/>
        </w:rPr>
      </w:pPr>
      <w:r w:rsidRPr="007744E8">
        <w:rPr>
          <w:color w:val="auto"/>
          <w:szCs w:val="24"/>
        </w:rPr>
        <w:t>En una revisión del grupo Cochrane</w:t>
      </w:r>
      <w:r w:rsidRPr="007744E8">
        <w:rPr>
          <w:color w:val="auto"/>
          <w:szCs w:val="24"/>
          <w:vertAlign w:val="superscript"/>
        </w:rPr>
        <w:t>8</w:t>
      </w:r>
      <w:r w:rsidRPr="007744E8">
        <w:rPr>
          <w:color w:val="auto"/>
          <w:szCs w:val="24"/>
        </w:rPr>
        <w:t>, la estrategia restrictiva redujo el riesgo de recibir una t</w:t>
      </w:r>
      <w:r w:rsidR="00660FA5" w:rsidRPr="007744E8">
        <w:rPr>
          <w:color w:val="auto"/>
          <w:szCs w:val="24"/>
        </w:rPr>
        <w:t>ransfusión en el 39%, no aumentó</w:t>
      </w:r>
      <w:r w:rsidRPr="007744E8">
        <w:rPr>
          <w:color w:val="auto"/>
          <w:szCs w:val="24"/>
        </w:rPr>
        <w:t xml:space="preserve"> la mortalidad, n</w:t>
      </w:r>
      <w:r w:rsidR="00EF643A" w:rsidRPr="007744E8">
        <w:rPr>
          <w:color w:val="auto"/>
          <w:szCs w:val="24"/>
        </w:rPr>
        <w:t xml:space="preserve">i </w:t>
      </w:r>
      <w:r w:rsidRPr="007744E8">
        <w:rPr>
          <w:color w:val="auto"/>
          <w:szCs w:val="24"/>
        </w:rPr>
        <w:t>infarto de miocardio,</w:t>
      </w:r>
      <w:r w:rsidR="00EF643A" w:rsidRPr="007744E8">
        <w:rPr>
          <w:color w:val="auto"/>
          <w:szCs w:val="24"/>
        </w:rPr>
        <w:t xml:space="preserve"> stroke</w:t>
      </w:r>
      <w:r w:rsidR="003327AE">
        <w:rPr>
          <w:color w:val="auto"/>
          <w:szCs w:val="24"/>
        </w:rPr>
        <w:t>, neumonía o</w:t>
      </w:r>
      <w:r w:rsidRPr="007744E8">
        <w:rPr>
          <w:color w:val="auto"/>
          <w:szCs w:val="24"/>
        </w:rPr>
        <w:t xml:space="preserve"> tromboembolismo. La estrategia restrictiva no disminuye la recuperación funcional, ni la estadía hospitalaria en la </w:t>
      </w:r>
      <w:r w:rsidR="004A5D58">
        <w:rPr>
          <w:color w:val="auto"/>
          <w:szCs w:val="24"/>
        </w:rPr>
        <w:t>UCI. P</w:t>
      </w:r>
      <w:r w:rsidRPr="007744E8">
        <w:rPr>
          <w:color w:val="auto"/>
          <w:szCs w:val="24"/>
        </w:rPr>
        <w:t>uede aplicarse en la mayoría de los pacientes</w:t>
      </w:r>
      <w:r w:rsidR="007744E8" w:rsidRPr="007744E8">
        <w:rPr>
          <w:color w:val="auto"/>
          <w:szCs w:val="24"/>
        </w:rPr>
        <w:t xml:space="preserve"> críticos manteniendo niveles</w:t>
      </w:r>
      <w:r w:rsidR="0073386B">
        <w:rPr>
          <w:color w:val="auto"/>
          <w:szCs w:val="24"/>
        </w:rPr>
        <w:t xml:space="preserve"> de Hb</w:t>
      </w:r>
      <w:r w:rsidR="004C2B44">
        <w:rPr>
          <w:color w:val="auto"/>
          <w:szCs w:val="24"/>
        </w:rPr>
        <w:t xml:space="preserve"> 7</w:t>
      </w:r>
      <w:r w:rsidR="007744E8" w:rsidRPr="007744E8">
        <w:rPr>
          <w:color w:val="auto"/>
          <w:szCs w:val="24"/>
        </w:rPr>
        <w:t>g/dl; sin embargo,</w:t>
      </w:r>
      <w:r w:rsidR="00BD4538" w:rsidRPr="007744E8">
        <w:rPr>
          <w:color w:val="auto"/>
          <w:szCs w:val="24"/>
        </w:rPr>
        <w:t xml:space="preserve"> en ciertos grupos este valor puede no ser adecuado</w:t>
      </w:r>
      <w:r w:rsidR="007744E8" w:rsidRPr="007744E8">
        <w:rPr>
          <w:color w:val="auto"/>
          <w:szCs w:val="24"/>
        </w:rPr>
        <w:t>.</w:t>
      </w:r>
    </w:p>
    <w:p w14:paraId="14AFF31E" w14:textId="77777777" w:rsidR="006050C3" w:rsidRPr="00A0468A" w:rsidRDefault="006050C3" w:rsidP="002E4EFB">
      <w:pPr>
        <w:pStyle w:val="Ttulo2"/>
        <w:spacing w:before="0" w:beforeAutospacing="0" w:after="0" w:afterAutospacing="0" w:line="480" w:lineRule="auto"/>
        <w:rPr>
          <w:sz w:val="24"/>
          <w:szCs w:val="24"/>
        </w:rPr>
      </w:pPr>
      <w:bookmarkStart w:id="2" w:name="_Toc431407904"/>
      <w:r w:rsidRPr="00A0468A">
        <w:rPr>
          <w:sz w:val="24"/>
          <w:szCs w:val="24"/>
        </w:rPr>
        <w:t>Etiopatogenia de la anemia del paciente crítico</w:t>
      </w:r>
      <w:bookmarkEnd w:id="2"/>
    </w:p>
    <w:p w14:paraId="3D0E909A" w14:textId="77777777" w:rsidR="001B09F5" w:rsidRPr="00EA0EE8" w:rsidRDefault="006050C3" w:rsidP="002E4EFB">
      <w:pPr>
        <w:spacing w:after="0" w:line="480" w:lineRule="auto"/>
        <w:jc w:val="both"/>
        <w:rPr>
          <w:b/>
          <w:color w:val="FF0000"/>
          <w:szCs w:val="24"/>
        </w:rPr>
      </w:pPr>
      <w:r w:rsidRPr="007B2485">
        <w:rPr>
          <w:szCs w:val="24"/>
          <w:shd w:val="clear" w:color="auto" w:fill="FFFFFF"/>
        </w:rPr>
        <w:t>La etiolog</w:t>
      </w:r>
      <w:r>
        <w:rPr>
          <w:szCs w:val="24"/>
          <w:shd w:val="clear" w:color="auto" w:fill="FFFFFF"/>
        </w:rPr>
        <w:t>ía es multifactorial y compleja</w:t>
      </w:r>
      <w:r>
        <w:rPr>
          <w:szCs w:val="24"/>
          <w:shd w:val="clear" w:color="auto" w:fill="FFFFFF"/>
          <w:vertAlign w:val="superscript"/>
        </w:rPr>
        <w:t>3</w:t>
      </w:r>
      <w:r w:rsidR="00E95119">
        <w:rPr>
          <w:szCs w:val="24"/>
          <w:shd w:val="clear" w:color="auto" w:fill="FFFFFF"/>
        </w:rPr>
        <w:t>: sangrado</w:t>
      </w:r>
      <w:r>
        <w:rPr>
          <w:szCs w:val="24"/>
          <w:shd w:val="clear" w:color="auto" w:fill="FFFFFF"/>
        </w:rPr>
        <w:t xml:space="preserve"> gastrointestinal (factores de riesgo</w:t>
      </w:r>
      <w:r w:rsidR="00EA0EE8">
        <w:rPr>
          <w:szCs w:val="24"/>
          <w:shd w:val="clear" w:color="auto" w:fill="FFFFFF"/>
        </w:rPr>
        <w:t>:</w:t>
      </w:r>
      <w:r>
        <w:rPr>
          <w:szCs w:val="24"/>
          <w:shd w:val="clear" w:color="auto" w:fill="FFFFFF"/>
        </w:rPr>
        <w:t xml:space="preserve"> ventilación mecánica, insuficiencia nutricional, insuficiencia renal a</w:t>
      </w:r>
      <w:r w:rsidR="005E0C99">
        <w:rPr>
          <w:szCs w:val="24"/>
          <w:shd w:val="clear" w:color="auto" w:fill="FFFFFF"/>
        </w:rPr>
        <w:t>guda,</w:t>
      </w:r>
      <w:r>
        <w:rPr>
          <w:szCs w:val="24"/>
          <w:shd w:val="clear" w:color="auto" w:fill="FFFFFF"/>
        </w:rPr>
        <w:t xml:space="preserve"> anticoagulantes)</w:t>
      </w:r>
      <w:r>
        <w:rPr>
          <w:szCs w:val="24"/>
          <w:shd w:val="clear" w:color="auto" w:fill="FFFFFF"/>
          <w:vertAlign w:val="superscript"/>
        </w:rPr>
        <w:t>9</w:t>
      </w:r>
      <w:r w:rsidR="00E95119">
        <w:rPr>
          <w:szCs w:val="24"/>
          <w:shd w:val="clear" w:color="auto" w:fill="FFFFFF"/>
        </w:rPr>
        <w:t>,</w:t>
      </w:r>
      <w:r w:rsidRPr="007B2485">
        <w:rPr>
          <w:szCs w:val="24"/>
          <w:shd w:val="clear" w:color="auto" w:fill="FFFFFF"/>
        </w:rPr>
        <w:t xml:space="preserve"> procedimi</w:t>
      </w:r>
      <w:r w:rsidR="003E59BB">
        <w:rPr>
          <w:szCs w:val="24"/>
          <w:shd w:val="clear" w:color="auto" w:fill="FFFFFF"/>
        </w:rPr>
        <w:t>entos quirúrgicos</w:t>
      </w:r>
      <w:r w:rsidR="00E95119">
        <w:rPr>
          <w:szCs w:val="24"/>
          <w:shd w:val="clear" w:color="auto" w:fill="FFFFFF"/>
        </w:rPr>
        <w:t xml:space="preserve">, </w:t>
      </w:r>
      <w:r w:rsidRPr="007B2485">
        <w:rPr>
          <w:szCs w:val="24"/>
          <w:shd w:val="clear" w:color="auto" w:fill="FFFFFF"/>
        </w:rPr>
        <w:t>coagulopa</w:t>
      </w:r>
      <w:r w:rsidR="00791FF2">
        <w:rPr>
          <w:szCs w:val="24"/>
          <w:shd w:val="clear" w:color="auto" w:fill="FFFFFF"/>
        </w:rPr>
        <w:t>tías, hemólisis</w:t>
      </w:r>
      <w:r w:rsidRPr="007B2485">
        <w:rPr>
          <w:szCs w:val="24"/>
          <w:shd w:val="clear" w:color="auto" w:fill="FFFFFF"/>
        </w:rPr>
        <w:t>, hipoadrenalismo</w:t>
      </w:r>
      <w:r>
        <w:rPr>
          <w:szCs w:val="24"/>
          <w:shd w:val="clear" w:color="auto" w:fill="FFFFFF"/>
          <w:vertAlign w:val="superscript"/>
        </w:rPr>
        <w:t>1</w:t>
      </w:r>
      <w:r w:rsidR="00EA0EE8">
        <w:rPr>
          <w:szCs w:val="24"/>
          <w:shd w:val="clear" w:color="auto" w:fill="FFFFFF"/>
          <w:vertAlign w:val="superscript"/>
        </w:rPr>
        <w:t>1,</w:t>
      </w:r>
      <w:r>
        <w:rPr>
          <w:szCs w:val="24"/>
          <w:shd w:val="clear" w:color="auto" w:fill="FFFFFF"/>
          <w:vertAlign w:val="superscript"/>
        </w:rPr>
        <w:t>12</w:t>
      </w:r>
      <w:r w:rsidR="00E95119">
        <w:rPr>
          <w:szCs w:val="24"/>
          <w:shd w:val="clear" w:color="auto" w:fill="FFFFFF"/>
        </w:rPr>
        <w:t xml:space="preserve">, flebotomías repetidas </w:t>
      </w:r>
      <w:r w:rsidR="00E95119">
        <w:rPr>
          <w:szCs w:val="24"/>
        </w:rPr>
        <w:t>«vampirismo»</w:t>
      </w:r>
      <w:r w:rsidR="00E95119" w:rsidRPr="002560D5">
        <w:rPr>
          <w:szCs w:val="24"/>
        </w:rPr>
        <w:t xml:space="preserve"> </w:t>
      </w:r>
      <w:r w:rsidR="00E95119">
        <w:rPr>
          <w:szCs w:val="24"/>
          <w:shd w:val="clear" w:color="auto" w:fill="FFFFFF"/>
        </w:rPr>
        <w:t>(promedio de 61 a 70 ml</w:t>
      </w:r>
      <w:r w:rsidR="003327AE">
        <w:rPr>
          <w:szCs w:val="24"/>
          <w:shd w:val="clear" w:color="auto" w:fill="FFFFFF"/>
        </w:rPr>
        <w:t>/</w:t>
      </w:r>
      <w:r w:rsidR="00E95119">
        <w:rPr>
          <w:szCs w:val="24"/>
          <w:shd w:val="clear" w:color="auto" w:fill="FFFFFF"/>
        </w:rPr>
        <w:t>día)</w:t>
      </w:r>
      <w:r w:rsidR="00E95119">
        <w:rPr>
          <w:szCs w:val="24"/>
          <w:shd w:val="clear" w:color="auto" w:fill="FFFFFF"/>
          <w:vertAlign w:val="superscript"/>
        </w:rPr>
        <w:t>10</w:t>
      </w:r>
      <w:r w:rsidR="00EA0EE8">
        <w:rPr>
          <w:szCs w:val="24"/>
          <w:shd w:val="clear" w:color="auto" w:fill="FFFFFF"/>
        </w:rPr>
        <w:t>.</w:t>
      </w:r>
      <w:r w:rsidR="005A2F9A">
        <w:rPr>
          <w:szCs w:val="24"/>
          <w:shd w:val="clear" w:color="auto" w:fill="FFFFFF"/>
        </w:rPr>
        <w:t xml:space="preserve"> </w:t>
      </w:r>
      <w:r w:rsidRPr="002560D5">
        <w:rPr>
          <w:szCs w:val="24"/>
        </w:rPr>
        <w:t>Smoller y Kruskall</w:t>
      </w:r>
      <w:r w:rsidRPr="002560D5">
        <w:rPr>
          <w:szCs w:val="24"/>
          <w:vertAlign w:val="superscript"/>
        </w:rPr>
        <w:t>1</w:t>
      </w:r>
      <w:r>
        <w:rPr>
          <w:szCs w:val="24"/>
          <w:vertAlign w:val="superscript"/>
        </w:rPr>
        <w:t>3</w:t>
      </w:r>
      <w:r w:rsidR="00EA0EE8">
        <w:rPr>
          <w:szCs w:val="24"/>
          <w:vertAlign w:val="superscript"/>
        </w:rPr>
        <w:t xml:space="preserve"> </w:t>
      </w:r>
      <w:r w:rsidRPr="002560D5">
        <w:rPr>
          <w:szCs w:val="24"/>
        </w:rPr>
        <w:t> comprobaron que la ext</w:t>
      </w:r>
      <w:r w:rsidR="00791FF2">
        <w:rPr>
          <w:szCs w:val="24"/>
        </w:rPr>
        <w:t xml:space="preserve">racción en </w:t>
      </w:r>
      <w:r w:rsidRPr="002560D5">
        <w:rPr>
          <w:szCs w:val="24"/>
        </w:rPr>
        <w:t xml:space="preserve"> pacientes de </w:t>
      </w:r>
      <w:r>
        <w:rPr>
          <w:szCs w:val="24"/>
        </w:rPr>
        <w:t xml:space="preserve"> </w:t>
      </w:r>
      <w:r w:rsidRPr="002560D5">
        <w:rPr>
          <w:szCs w:val="24"/>
        </w:rPr>
        <w:t>UCI</w:t>
      </w:r>
      <w:r>
        <w:rPr>
          <w:szCs w:val="24"/>
        </w:rPr>
        <w:t>s</w:t>
      </w:r>
      <w:r w:rsidR="00086764">
        <w:rPr>
          <w:szCs w:val="24"/>
        </w:rPr>
        <w:t xml:space="preserve"> e</w:t>
      </w:r>
      <w:r w:rsidR="00F31E38">
        <w:rPr>
          <w:szCs w:val="24"/>
        </w:rPr>
        <w:t>ra</w:t>
      </w:r>
      <w:r w:rsidR="00086764">
        <w:rPr>
          <w:szCs w:val="24"/>
        </w:rPr>
        <w:t xml:space="preserve"> &gt;</w:t>
      </w:r>
      <w:r w:rsidRPr="002560D5">
        <w:rPr>
          <w:szCs w:val="24"/>
        </w:rPr>
        <w:t xml:space="preserve">40 ml/día, frente a los 12 ml/día </w:t>
      </w:r>
      <w:r w:rsidR="00086764">
        <w:rPr>
          <w:szCs w:val="24"/>
        </w:rPr>
        <w:t>de</w:t>
      </w:r>
      <w:r w:rsidRPr="002560D5">
        <w:rPr>
          <w:szCs w:val="24"/>
        </w:rPr>
        <w:t xml:space="preserve"> los pacientes de </w:t>
      </w:r>
      <w:r w:rsidR="00086764">
        <w:rPr>
          <w:szCs w:val="24"/>
        </w:rPr>
        <w:t>sala</w:t>
      </w:r>
      <w:r w:rsidR="004A5D58">
        <w:rPr>
          <w:szCs w:val="24"/>
        </w:rPr>
        <w:t xml:space="preserve">. </w:t>
      </w:r>
      <w:r w:rsidRPr="002560D5">
        <w:rPr>
          <w:szCs w:val="24"/>
        </w:rPr>
        <w:t xml:space="preserve">Corwin et </w:t>
      </w:r>
      <w:r>
        <w:rPr>
          <w:szCs w:val="24"/>
        </w:rPr>
        <w:t>al</w:t>
      </w:r>
      <w:r>
        <w:rPr>
          <w:szCs w:val="24"/>
          <w:vertAlign w:val="superscript"/>
        </w:rPr>
        <w:t xml:space="preserve">10,14 </w:t>
      </w:r>
      <w:r w:rsidRPr="002560D5">
        <w:rPr>
          <w:szCs w:val="24"/>
        </w:rPr>
        <w:t xml:space="preserve"> relacionaron </w:t>
      </w:r>
      <w:r w:rsidR="00E95119">
        <w:rPr>
          <w:szCs w:val="24"/>
        </w:rPr>
        <w:t>estas extracciones</w:t>
      </w:r>
      <w:r w:rsidR="00383714">
        <w:rPr>
          <w:szCs w:val="24"/>
        </w:rPr>
        <w:t xml:space="preserve"> a</w:t>
      </w:r>
      <w:r w:rsidR="00EA0EE8">
        <w:rPr>
          <w:szCs w:val="24"/>
        </w:rPr>
        <w:t>l 30% de</w:t>
      </w:r>
      <w:r w:rsidRPr="002560D5">
        <w:rPr>
          <w:szCs w:val="24"/>
        </w:rPr>
        <w:t xml:space="preserve"> las tra</w:t>
      </w:r>
      <w:r w:rsidR="00383714">
        <w:rPr>
          <w:szCs w:val="24"/>
        </w:rPr>
        <w:t>nsfusiones en UCI.</w:t>
      </w:r>
      <w:r w:rsidR="00E2079B">
        <w:rPr>
          <w:szCs w:val="24"/>
        </w:rPr>
        <w:t xml:space="preserve"> El estudio ABC, concluye que</w:t>
      </w:r>
      <w:r w:rsidRPr="002560D5">
        <w:rPr>
          <w:szCs w:val="24"/>
        </w:rPr>
        <w:t xml:space="preserve"> </w:t>
      </w:r>
      <w:r w:rsidR="00401C10">
        <w:rPr>
          <w:szCs w:val="24"/>
        </w:rPr>
        <w:t xml:space="preserve">la extracción diaria </w:t>
      </w:r>
      <w:r w:rsidR="00BC2671">
        <w:rPr>
          <w:szCs w:val="24"/>
        </w:rPr>
        <w:t>equivale</w:t>
      </w:r>
      <w:r w:rsidR="003E59BB">
        <w:rPr>
          <w:szCs w:val="24"/>
        </w:rPr>
        <w:t xml:space="preserve"> </w:t>
      </w:r>
      <w:r w:rsidRPr="002560D5">
        <w:rPr>
          <w:szCs w:val="24"/>
        </w:rPr>
        <w:t xml:space="preserve">a un concentrado de hematíes </w:t>
      </w:r>
      <w:r>
        <w:rPr>
          <w:szCs w:val="24"/>
        </w:rPr>
        <w:t xml:space="preserve">cada 7-10 días. </w:t>
      </w:r>
      <w:r w:rsidRPr="002560D5">
        <w:rPr>
          <w:szCs w:val="24"/>
        </w:rPr>
        <w:t>No obstante, la mayor extracción de sangre se produce durante las pri</w:t>
      </w:r>
      <w:r w:rsidR="00F34309">
        <w:rPr>
          <w:szCs w:val="24"/>
        </w:rPr>
        <w:t>meras 24-48 horas del ingreso a</w:t>
      </w:r>
      <w:r w:rsidRPr="002560D5">
        <w:rPr>
          <w:szCs w:val="24"/>
        </w:rPr>
        <w:t xml:space="preserve"> UCI y</w:t>
      </w:r>
      <w:r w:rsidR="00E2079B">
        <w:rPr>
          <w:szCs w:val="24"/>
        </w:rPr>
        <w:t xml:space="preserve"> desciende progresivamente en  pacientes con</w:t>
      </w:r>
      <w:r w:rsidRPr="002560D5">
        <w:rPr>
          <w:szCs w:val="24"/>
        </w:rPr>
        <w:t xml:space="preserve"> </w:t>
      </w:r>
      <w:r w:rsidR="00401C10">
        <w:rPr>
          <w:szCs w:val="24"/>
        </w:rPr>
        <w:t>estancia prolongada</w:t>
      </w:r>
      <w:r w:rsidRPr="002560D5">
        <w:rPr>
          <w:szCs w:val="24"/>
          <w:vertAlign w:val="superscript"/>
        </w:rPr>
        <w:t>1,1</w:t>
      </w:r>
      <w:r>
        <w:rPr>
          <w:szCs w:val="24"/>
          <w:vertAlign w:val="superscript"/>
        </w:rPr>
        <w:t>6</w:t>
      </w:r>
      <w:r w:rsidRPr="002560D5">
        <w:rPr>
          <w:szCs w:val="24"/>
        </w:rPr>
        <w:t>.</w:t>
      </w:r>
      <w:bookmarkStart w:id="3" w:name="_Toc431407906"/>
      <w:r w:rsidR="00EA0EE8">
        <w:rPr>
          <w:szCs w:val="24"/>
        </w:rPr>
        <w:t xml:space="preserve"> </w:t>
      </w:r>
    </w:p>
    <w:p w14:paraId="72CE4174" w14:textId="77777777" w:rsidR="00A34E5D" w:rsidRDefault="006050C3" w:rsidP="002E4EFB">
      <w:pPr>
        <w:spacing w:after="0" w:line="480" w:lineRule="auto"/>
        <w:jc w:val="both"/>
        <w:rPr>
          <w:color w:val="auto"/>
          <w:sz w:val="28"/>
          <w:szCs w:val="28"/>
        </w:rPr>
      </w:pPr>
      <w:r w:rsidRPr="001B09F5">
        <w:rPr>
          <w:b/>
          <w:color w:val="auto"/>
        </w:rPr>
        <w:t>Reducción de la vida media del glóbulo rojo</w:t>
      </w:r>
      <w:r w:rsidRPr="004C2B44">
        <w:rPr>
          <w:color w:val="auto"/>
          <w:vertAlign w:val="superscript"/>
        </w:rPr>
        <w:t>1</w:t>
      </w:r>
      <w:r w:rsidRPr="00A0468A">
        <w:rPr>
          <w:color w:val="auto"/>
          <w:vertAlign w:val="superscript"/>
        </w:rPr>
        <w:t>7</w:t>
      </w:r>
      <w:bookmarkEnd w:id="3"/>
      <w:r w:rsidR="005A2F9A">
        <w:rPr>
          <w:color w:val="auto"/>
          <w:vertAlign w:val="superscript"/>
        </w:rPr>
        <w:t xml:space="preserve"> </w:t>
      </w:r>
      <w:r w:rsidRPr="001B09F5">
        <w:rPr>
          <w:color w:val="auto"/>
          <w:szCs w:val="24"/>
        </w:rPr>
        <w:t>La hemólisis, aparece tanto por causas inmunológicas (generalmente secundaria a reacciones adversas trans</w:t>
      </w:r>
      <w:r w:rsidR="004E0B88">
        <w:rPr>
          <w:color w:val="auto"/>
          <w:szCs w:val="24"/>
        </w:rPr>
        <w:t xml:space="preserve">fusionales, especialmente </w:t>
      </w:r>
      <w:r w:rsidRPr="001B09F5">
        <w:rPr>
          <w:color w:val="auto"/>
          <w:szCs w:val="24"/>
        </w:rPr>
        <w:t xml:space="preserve">paciente politransfundido) </w:t>
      </w:r>
      <w:r w:rsidR="00801924">
        <w:rPr>
          <w:color w:val="auto"/>
          <w:szCs w:val="24"/>
        </w:rPr>
        <w:t>com</w:t>
      </w:r>
      <w:r w:rsidRPr="001B09F5">
        <w:rPr>
          <w:color w:val="auto"/>
          <w:szCs w:val="24"/>
        </w:rPr>
        <w:t xml:space="preserve">o no </w:t>
      </w:r>
      <w:r w:rsidR="00801924">
        <w:rPr>
          <w:color w:val="auto"/>
          <w:szCs w:val="24"/>
        </w:rPr>
        <w:t>inmunológicas que aumenta</w:t>
      </w:r>
      <w:r w:rsidRPr="001B09F5">
        <w:rPr>
          <w:color w:val="auto"/>
          <w:szCs w:val="24"/>
        </w:rPr>
        <w:t>n la destrucción de hematíes,</w:t>
      </w:r>
      <w:r w:rsidR="004E0B88">
        <w:rPr>
          <w:color w:val="auto"/>
          <w:szCs w:val="24"/>
        </w:rPr>
        <w:t xml:space="preserve"> como la sepsis </w:t>
      </w:r>
      <w:r w:rsidR="00F929DB">
        <w:rPr>
          <w:color w:val="auto"/>
          <w:szCs w:val="24"/>
        </w:rPr>
        <w:t>(</w:t>
      </w:r>
      <w:r w:rsidR="004E0B88">
        <w:rPr>
          <w:color w:val="auto"/>
          <w:szCs w:val="24"/>
        </w:rPr>
        <w:t xml:space="preserve">induce </w:t>
      </w:r>
      <w:r w:rsidRPr="001B09F5">
        <w:rPr>
          <w:color w:val="auto"/>
          <w:szCs w:val="24"/>
        </w:rPr>
        <w:t>acortamiento de la vida media por diseritropoyesis y alteraciones de la membrana eritrocitaria</w:t>
      </w:r>
      <w:r w:rsidR="00F929DB">
        <w:rPr>
          <w:color w:val="auto"/>
          <w:szCs w:val="24"/>
        </w:rPr>
        <w:t>),</w:t>
      </w:r>
      <w:r w:rsidR="004E0B88">
        <w:rPr>
          <w:color w:val="auto"/>
          <w:szCs w:val="24"/>
        </w:rPr>
        <w:t xml:space="preserve"> hipert</w:t>
      </w:r>
      <w:r w:rsidR="00F929DB">
        <w:rPr>
          <w:color w:val="auto"/>
          <w:szCs w:val="24"/>
        </w:rPr>
        <w:t>ensión portal o hiperesplenismo,</w:t>
      </w:r>
      <w:r w:rsidR="00426330">
        <w:rPr>
          <w:color w:val="auto"/>
          <w:szCs w:val="24"/>
        </w:rPr>
        <w:t xml:space="preserve"> válvulas cardíacas con</w:t>
      </w:r>
      <w:r w:rsidRPr="001B09F5">
        <w:rPr>
          <w:color w:val="auto"/>
          <w:szCs w:val="24"/>
        </w:rPr>
        <w:t xml:space="preserve"> defecto funcional o protésicas</w:t>
      </w:r>
      <w:r w:rsidR="00F929DB">
        <w:rPr>
          <w:color w:val="auto"/>
          <w:szCs w:val="24"/>
        </w:rPr>
        <w:t>,</w:t>
      </w:r>
      <w:r w:rsidR="003E59BB">
        <w:rPr>
          <w:color w:val="auto"/>
          <w:szCs w:val="24"/>
        </w:rPr>
        <w:t xml:space="preserve"> </w:t>
      </w:r>
      <w:r w:rsidRPr="001B09F5">
        <w:rPr>
          <w:color w:val="auto"/>
          <w:szCs w:val="24"/>
        </w:rPr>
        <w:t xml:space="preserve">uso </w:t>
      </w:r>
      <w:r w:rsidR="00F34309">
        <w:rPr>
          <w:color w:val="auto"/>
          <w:szCs w:val="24"/>
        </w:rPr>
        <w:t>de circuitos extracorpóreos o</w:t>
      </w:r>
      <w:r w:rsidRPr="001B09F5">
        <w:rPr>
          <w:color w:val="auto"/>
          <w:szCs w:val="24"/>
        </w:rPr>
        <w:t xml:space="preserve"> inyección rápida de soluciones hipotónicas.</w:t>
      </w:r>
      <w:bookmarkStart w:id="4" w:name="_Toc431407907"/>
      <w:r w:rsidR="005A2F9A" w:rsidRPr="001B09F5">
        <w:rPr>
          <w:color w:val="auto"/>
          <w:sz w:val="28"/>
          <w:szCs w:val="28"/>
        </w:rPr>
        <w:t xml:space="preserve"> </w:t>
      </w:r>
    </w:p>
    <w:p w14:paraId="6DB1F35A" w14:textId="77777777" w:rsidR="00C6487E" w:rsidRDefault="006050C3" w:rsidP="002E4EFB">
      <w:pPr>
        <w:spacing w:after="0" w:line="480" w:lineRule="auto"/>
        <w:jc w:val="both"/>
        <w:rPr>
          <w:color w:val="auto"/>
          <w:sz w:val="28"/>
          <w:szCs w:val="28"/>
        </w:rPr>
      </w:pPr>
      <w:r w:rsidRPr="001B09F5">
        <w:rPr>
          <w:b/>
          <w:color w:val="auto"/>
        </w:rPr>
        <w:lastRenderedPageBreak/>
        <w:t>Anemia Relativa</w:t>
      </w:r>
      <w:r w:rsidRPr="001B09F5">
        <w:rPr>
          <w:b/>
          <w:color w:val="auto"/>
          <w:vertAlign w:val="superscript"/>
        </w:rPr>
        <w:t>17</w:t>
      </w:r>
      <w:bookmarkEnd w:id="4"/>
      <w:r w:rsidR="005A2F9A">
        <w:rPr>
          <w:color w:val="auto"/>
          <w:vertAlign w:val="superscript"/>
        </w:rPr>
        <w:t xml:space="preserve"> </w:t>
      </w:r>
      <w:r w:rsidR="00F831BC">
        <w:rPr>
          <w:color w:val="auto"/>
          <w:szCs w:val="24"/>
        </w:rPr>
        <w:t>Dados los</w:t>
      </w:r>
      <w:r w:rsidRPr="001B09F5">
        <w:rPr>
          <w:color w:val="auto"/>
          <w:szCs w:val="24"/>
        </w:rPr>
        <w:t xml:space="preserve"> cambios h</w:t>
      </w:r>
      <w:r w:rsidR="00F831BC">
        <w:rPr>
          <w:color w:val="auto"/>
          <w:szCs w:val="24"/>
        </w:rPr>
        <w:t>emodinámicos e hidroelectrolíti</w:t>
      </w:r>
      <w:r w:rsidR="001C64DE">
        <w:rPr>
          <w:color w:val="auto"/>
          <w:szCs w:val="24"/>
        </w:rPr>
        <w:t>c</w:t>
      </w:r>
      <w:r w:rsidR="00F831BC">
        <w:rPr>
          <w:color w:val="auto"/>
          <w:szCs w:val="24"/>
        </w:rPr>
        <w:t>o</w:t>
      </w:r>
      <w:r w:rsidRPr="001B09F5">
        <w:rPr>
          <w:color w:val="auto"/>
          <w:szCs w:val="24"/>
        </w:rPr>
        <w:t xml:space="preserve">s </w:t>
      </w:r>
      <w:r w:rsidR="00F831BC">
        <w:rPr>
          <w:color w:val="auto"/>
          <w:szCs w:val="24"/>
        </w:rPr>
        <w:t>en</w:t>
      </w:r>
      <w:r w:rsidRPr="001B09F5">
        <w:rPr>
          <w:color w:val="auto"/>
          <w:szCs w:val="24"/>
        </w:rPr>
        <w:t xml:space="preserve"> pacientes críticos, puede ser relativa a un fenómeno de hemodilución, frecu</w:t>
      </w:r>
      <w:r w:rsidR="00F831BC">
        <w:rPr>
          <w:color w:val="auto"/>
          <w:szCs w:val="24"/>
        </w:rPr>
        <w:t>ente en el fallo renal agudo,</w:t>
      </w:r>
      <w:r w:rsidRPr="001B09F5">
        <w:rPr>
          <w:color w:val="auto"/>
          <w:szCs w:val="24"/>
        </w:rPr>
        <w:t xml:space="preserve"> insuficiencia cardí</w:t>
      </w:r>
      <w:r w:rsidR="00C6487E">
        <w:rPr>
          <w:color w:val="auto"/>
          <w:szCs w:val="24"/>
        </w:rPr>
        <w:t xml:space="preserve">aca congestiva o </w:t>
      </w:r>
      <w:r w:rsidRPr="001B09F5">
        <w:rPr>
          <w:color w:val="auto"/>
          <w:szCs w:val="24"/>
        </w:rPr>
        <w:t>excesiva administración de fluidos (cristaloid</w:t>
      </w:r>
      <w:r w:rsidR="00D63435">
        <w:rPr>
          <w:color w:val="auto"/>
          <w:szCs w:val="24"/>
        </w:rPr>
        <w:t>es y/o coloides)</w:t>
      </w:r>
      <w:r w:rsidRPr="001B09F5">
        <w:rPr>
          <w:color w:val="auto"/>
          <w:szCs w:val="24"/>
        </w:rPr>
        <w:t>. Anemia más hemodilución pueden acontecer paralelamente, agravándose entonces el defecto</w:t>
      </w:r>
      <w:r w:rsidRPr="001B09F5">
        <w:rPr>
          <w:szCs w:val="24"/>
        </w:rPr>
        <w:t xml:space="preserve"> celular.</w:t>
      </w:r>
      <w:bookmarkStart w:id="5" w:name="_Toc431407908"/>
      <w:r w:rsidR="005A2F9A" w:rsidRPr="001B09F5">
        <w:rPr>
          <w:color w:val="auto"/>
          <w:sz w:val="28"/>
          <w:szCs w:val="28"/>
        </w:rPr>
        <w:t xml:space="preserve"> </w:t>
      </w:r>
    </w:p>
    <w:p w14:paraId="5ED1B968" w14:textId="77777777" w:rsidR="001575F1" w:rsidRDefault="006050C3" w:rsidP="002E4EFB">
      <w:pPr>
        <w:spacing w:after="0" w:line="480" w:lineRule="auto"/>
        <w:jc w:val="both"/>
        <w:rPr>
          <w:color w:val="FF0000"/>
          <w:sz w:val="28"/>
          <w:szCs w:val="28"/>
        </w:rPr>
      </w:pPr>
      <w:r w:rsidRPr="001B09F5">
        <w:rPr>
          <w:b/>
          <w:color w:val="auto"/>
        </w:rPr>
        <w:t>Alteración en la eritropoyesis</w:t>
      </w:r>
      <w:bookmarkEnd w:id="5"/>
      <w:r w:rsidR="00A34E5D">
        <w:rPr>
          <w:b/>
          <w:color w:val="auto"/>
        </w:rPr>
        <w:t>.</w:t>
      </w:r>
      <w:r w:rsidRPr="001B09F5">
        <w:rPr>
          <w:b/>
          <w:color w:val="auto"/>
        </w:rPr>
        <w:t xml:space="preserve"> </w:t>
      </w:r>
      <w:r w:rsidR="005A2F9A">
        <w:rPr>
          <w:color w:val="auto"/>
        </w:rPr>
        <w:t xml:space="preserve"> </w:t>
      </w:r>
      <w:r w:rsidR="00976A4B">
        <w:rPr>
          <w:szCs w:val="24"/>
        </w:rPr>
        <w:t>C</w:t>
      </w:r>
      <w:r w:rsidRPr="001824CD">
        <w:rPr>
          <w:szCs w:val="24"/>
        </w:rPr>
        <w:t>élulas intersticiales peritubulares de la corteza renal</w:t>
      </w:r>
      <w:r w:rsidR="00640DBD">
        <w:rPr>
          <w:szCs w:val="24"/>
        </w:rPr>
        <w:t xml:space="preserve"> (85</w:t>
      </w:r>
      <w:r w:rsidR="00976A4B">
        <w:rPr>
          <w:szCs w:val="24"/>
        </w:rPr>
        <w:t xml:space="preserve">%), y </w:t>
      </w:r>
      <w:r>
        <w:rPr>
          <w:szCs w:val="24"/>
        </w:rPr>
        <w:t>células del parénquima hepát</w:t>
      </w:r>
      <w:r w:rsidR="00640DBD">
        <w:rPr>
          <w:szCs w:val="24"/>
        </w:rPr>
        <w:t>ico (15%) producen</w:t>
      </w:r>
      <w:r>
        <w:rPr>
          <w:szCs w:val="24"/>
        </w:rPr>
        <w:t xml:space="preserve"> eritropoyetina (EPO). Esta hormona al unirse al receptor EPO de la célula progenitora eritroide promueve su maduración y puede disminuir la apoptosis. En las anemias ferropenicas de cualquier ca</w:t>
      </w:r>
      <w:r w:rsidR="006C72E9">
        <w:rPr>
          <w:szCs w:val="24"/>
        </w:rPr>
        <w:t>usa, la concentración de Hb y</w:t>
      </w:r>
      <w:r>
        <w:rPr>
          <w:szCs w:val="24"/>
        </w:rPr>
        <w:t xml:space="preserve"> EPO tienen una relación semilogaritmica negativa</w:t>
      </w:r>
      <w:r w:rsidR="00640DBD">
        <w:rPr>
          <w:szCs w:val="24"/>
        </w:rPr>
        <w:t>:</w:t>
      </w:r>
      <w:r>
        <w:rPr>
          <w:szCs w:val="24"/>
        </w:rPr>
        <w:t xml:space="preserve"> ante la disminución de la Hb</w:t>
      </w:r>
      <w:r w:rsidR="00A34E5D">
        <w:rPr>
          <w:szCs w:val="24"/>
        </w:rPr>
        <w:t>,</w:t>
      </w:r>
      <w:r>
        <w:rPr>
          <w:szCs w:val="24"/>
        </w:rPr>
        <w:t xml:space="preserve"> la concentrac</w:t>
      </w:r>
      <w:r w:rsidR="00A34E5D">
        <w:rPr>
          <w:szCs w:val="24"/>
        </w:rPr>
        <w:t>ión de EPO aumenta, o viceversa. E</w:t>
      </w:r>
      <w:r>
        <w:rPr>
          <w:szCs w:val="24"/>
        </w:rPr>
        <w:t xml:space="preserve">sto no pasa en los pacientes críticos, bajo niveles de EPO pueden contribuir significativamente a la </w:t>
      </w:r>
      <w:r w:rsidR="00640DBD">
        <w:rPr>
          <w:szCs w:val="24"/>
        </w:rPr>
        <w:t>anemia</w:t>
      </w:r>
      <w:r>
        <w:rPr>
          <w:szCs w:val="24"/>
          <w:vertAlign w:val="superscript"/>
        </w:rPr>
        <w:t>18</w:t>
      </w:r>
      <w:r>
        <w:rPr>
          <w:szCs w:val="24"/>
        </w:rPr>
        <w:t xml:space="preserve">. </w:t>
      </w:r>
      <w:r w:rsidRPr="002560D5">
        <w:rPr>
          <w:szCs w:val="24"/>
        </w:rPr>
        <w:t xml:space="preserve">Los pacientes críticos presentan defectos en la secreción y/o mala utilización de </w:t>
      </w:r>
      <w:r>
        <w:rPr>
          <w:szCs w:val="24"/>
        </w:rPr>
        <w:t>eritropoyetina</w:t>
      </w:r>
      <w:r w:rsidRPr="002560D5">
        <w:rPr>
          <w:szCs w:val="24"/>
        </w:rPr>
        <w:t xml:space="preserve">. Por ello, aunque debe evitarse la hipoxia, no se aconseja la oxigenación excesiva mantenida, ya que ésta frenaría la producción y liberación de EPO, tal como lo hace la </w:t>
      </w:r>
      <w:r w:rsidR="00A34E5D">
        <w:rPr>
          <w:szCs w:val="24"/>
        </w:rPr>
        <w:t>propia transfusión sanguínea. Por</w:t>
      </w:r>
      <w:r w:rsidR="00640DBD">
        <w:rPr>
          <w:szCs w:val="24"/>
        </w:rPr>
        <w:t xml:space="preserve"> otra parte,</w:t>
      </w:r>
      <w:r w:rsidRPr="002560D5">
        <w:rPr>
          <w:szCs w:val="24"/>
        </w:rPr>
        <w:t xml:space="preserve"> citocinas proinflamatorias con efecto inhibitorio sobre la eritropoyesis </w:t>
      </w:r>
      <w:r w:rsidR="00640DBD">
        <w:rPr>
          <w:szCs w:val="24"/>
        </w:rPr>
        <w:t>como</w:t>
      </w:r>
      <w:r w:rsidRPr="002560D5">
        <w:rPr>
          <w:szCs w:val="24"/>
        </w:rPr>
        <w:t xml:space="preserve"> el factor de necrosis tumoral</w:t>
      </w:r>
      <w:r>
        <w:rPr>
          <w:szCs w:val="24"/>
        </w:rPr>
        <w:t xml:space="preserve"> alfa (TNF-α)</w:t>
      </w:r>
      <w:r w:rsidRPr="002560D5">
        <w:rPr>
          <w:szCs w:val="24"/>
        </w:rPr>
        <w:t>, el interferón gamma y la interleucina-1</w:t>
      </w:r>
      <w:r>
        <w:rPr>
          <w:szCs w:val="24"/>
        </w:rPr>
        <w:t>(IL-1)</w:t>
      </w:r>
      <w:r w:rsidR="00853C4F">
        <w:rPr>
          <w:szCs w:val="24"/>
        </w:rPr>
        <w:t>,</w:t>
      </w:r>
      <w:r w:rsidRPr="002560D5">
        <w:rPr>
          <w:szCs w:val="24"/>
        </w:rPr>
        <w:t xml:space="preserve"> al ser liberados durante la sepsis, pancreatitis, traumatismos y cirugía, indu</w:t>
      </w:r>
      <w:r w:rsidR="00853C4F">
        <w:rPr>
          <w:szCs w:val="24"/>
        </w:rPr>
        <w:t>cen disminución</w:t>
      </w:r>
      <w:r w:rsidRPr="002560D5">
        <w:rPr>
          <w:szCs w:val="24"/>
        </w:rPr>
        <w:t xml:space="preserve"> en l</w:t>
      </w:r>
      <w:r w:rsidR="00331CB9">
        <w:rPr>
          <w:szCs w:val="24"/>
        </w:rPr>
        <w:t>a producción de EPO</w:t>
      </w:r>
      <w:r w:rsidRPr="002560D5">
        <w:rPr>
          <w:szCs w:val="24"/>
          <w:vertAlign w:val="superscript"/>
        </w:rPr>
        <w:t>16</w:t>
      </w:r>
      <w:r w:rsidR="00A34E5D">
        <w:rPr>
          <w:szCs w:val="24"/>
          <w:vertAlign w:val="superscript"/>
        </w:rPr>
        <w:t>,</w:t>
      </w:r>
      <w:r w:rsidRPr="002560D5">
        <w:rPr>
          <w:szCs w:val="24"/>
          <w:vertAlign w:val="superscript"/>
        </w:rPr>
        <w:t>19,20</w:t>
      </w:r>
      <w:r w:rsidR="00801924">
        <w:rPr>
          <w:szCs w:val="24"/>
        </w:rPr>
        <w:t>, mientras</w:t>
      </w:r>
      <w:r w:rsidR="00A34E5D">
        <w:rPr>
          <w:szCs w:val="24"/>
        </w:rPr>
        <w:t xml:space="preserve"> interleucina</w:t>
      </w:r>
      <w:r>
        <w:rPr>
          <w:szCs w:val="24"/>
        </w:rPr>
        <w:t>-6 (IL-6) y TNF-α son capaces de disminuir la vida media de los eritrocitos</w:t>
      </w:r>
      <w:r>
        <w:rPr>
          <w:szCs w:val="24"/>
          <w:vertAlign w:val="superscript"/>
        </w:rPr>
        <w:t>21</w:t>
      </w:r>
      <w:r>
        <w:rPr>
          <w:szCs w:val="24"/>
        </w:rPr>
        <w:t xml:space="preserve">. </w:t>
      </w:r>
      <w:r w:rsidRPr="002560D5">
        <w:rPr>
          <w:szCs w:val="24"/>
        </w:rPr>
        <w:t xml:space="preserve"> Elliot et al</w:t>
      </w:r>
      <w:r w:rsidRPr="002560D5">
        <w:rPr>
          <w:szCs w:val="24"/>
          <w:vertAlign w:val="superscript"/>
        </w:rPr>
        <w:t>2</w:t>
      </w:r>
      <w:r>
        <w:rPr>
          <w:szCs w:val="24"/>
          <w:vertAlign w:val="superscript"/>
        </w:rPr>
        <w:t>2</w:t>
      </w:r>
      <w:r w:rsidR="00853C4F">
        <w:rPr>
          <w:szCs w:val="24"/>
        </w:rPr>
        <w:t>  describieron</w:t>
      </w:r>
      <w:r w:rsidRPr="002560D5">
        <w:rPr>
          <w:szCs w:val="24"/>
        </w:rPr>
        <w:t xml:space="preserve"> la presencia de niveles eleva</w:t>
      </w:r>
      <w:r w:rsidR="006C72E9">
        <w:rPr>
          <w:szCs w:val="24"/>
        </w:rPr>
        <w:t>dos de EPO e IL</w:t>
      </w:r>
      <w:r w:rsidRPr="002560D5">
        <w:rPr>
          <w:szCs w:val="24"/>
        </w:rPr>
        <w:t xml:space="preserve">-6 durante la fase aguda de la enfermedad crítica (3 primeros días) en pacientes con </w:t>
      </w:r>
      <w:r w:rsidR="00853C4F">
        <w:rPr>
          <w:szCs w:val="24"/>
        </w:rPr>
        <w:t>insuficiencia renal aguda</w:t>
      </w:r>
      <w:r w:rsidRPr="002560D5">
        <w:rPr>
          <w:szCs w:val="24"/>
        </w:rPr>
        <w:t>.</w:t>
      </w:r>
      <w:r w:rsidR="00853C4F">
        <w:rPr>
          <w:szCs w:val="24"/>
        </w:rPr>
        <w:t xml:space="preserve"> </w:t>
      </w:r>
      <w:r w:rsidR="001D6FD3">
        <w:rPr>
          <w:szCs w:val="24"/>
        </w:rPr>
        <w:t>Posteriormente</w:t>
      </w:r>
      <w:r w:rsidRPr="00A0468A">
        <w:rPr>
          <w:szCs w:val="24"/>
          <w:shd w:val="clear" w:color="auto" w:fill="FFFFFF"/>
        </w:rPr>
        <w:t xml:space="preserve">, </w:t>
      </w:r>
      <w:r w:rsidR="002F6391">
        <w:rPr>
          <w:szCs w:val="24"/>
          <w:shd w:val="clear" w:color="auto" w:fill="FFFFFF"/>
        </w:rPr>
        <w:t>mostraban</w:t>
      </w:r>
      <w:r w:rsidRPr="00A0468A">
        <w:rPr>
          <w:szCs w:val="24"/>
          <w:shd w:val="clear" w:color="auto" w:fill="FFFFFF"/>
        </w:rPr>
        <w:t xml:space="preserve"> niveles de EPO normales o bajos a pesar de la anemia progresiva</w:t>
      </w:r>
      <w:r w:rsidR="001D6FD3">
        <w:rPr>
          <w:szCs w:val="24"/>
          <w:shd w:val="clear" w:color="auto" w:fill="FFFFFF"/>
        </w:rPr>
        <w:t>, mientras</w:t>
      </w:r>
      <w:r w:rsidRPr="00A0468A">
        <w:rPr>
          <w:rStyle w:val="apple-converted-space"/>
          <w:szCs w:val="24"/>
          <w:shd w:val="clear" w:color="auto" w:fill="FFFFFF"/>
        </w:rPr>
        <w:t> </w:t>
      </w:r>
      <w:r w:rsidRPr="00A0468A">
        <w:rPr>
          <w:szCs w:val="24"/>
          <w:shd w:val="clear" w:color="auto" w:fill="FFFFFF"/>
        </w:rPr>
        <w:t>IL-6</w:t>
      </w:r>
      <w:r w:rsidR="001D6FD3">
        <w:rPr>
          <w:szCs w:val="24"/>
          <w:shd w:val="clear" w:color="auto" w:fill="FFFFFF"/>
        </w:rPr>
        <w:t xml:space="preserve"> mantenía niveles</w:t>
      </w:r>
      <w:r w:rsidRPr="00A0468A">
        <w:rPr>
          <w:szCs w:val="24"/>
          <w:shd w:val="clear" w:color="auto" w:fill="FFFFFF"/>
        </w:rPr>
        <w:t xml:space="preserve"> elevados durante la fase crónica de la enfermedad crítica. La terapia de EPO exógena es poco probable que sea eficaz en los primeros días de la enfermedad crítica. </w:t>
      </w:r>
      <w:bookmarkStart w:id="6" w:name="_Toc431407909"/>
      <w:r w:rsidR="005A2F9A">
        <w:rPr>
          <w:color w:val="auto"/>
          <w:sz w:val="28"/>
          <w:szCs w:val="28"/>
        </w:rPr>
        <w:t xml:space="preserve"> </w:t>
      </w:r>
    </w:p>
    <w:p w14:paraId="2EC2B269" w14:textId="77777777" w:rsidR="006424FB" w:rsidRDefault="006050C3" w:rsidP="002E4EFB">
      <w:pPr>
        <w:spacing w:after="0" w:line="480" w:lineRule="auto"/>
        <w:jc w:val="both"/>
        <w:rPr>
          <w:szCs w:val="24"/>
        </w:rPr>
      </w:pPr>
      <w:r w:rsidRPr="001B09F5">
        <w:rPr>
          <w:b/>
          <w:color w:val="auto"/>
        </w:rPr>
        <w:lastRenderedPageBreak/>
        <w:t>Alteraciones nutricionales</w:t>
      </w:r>
      <w:bookmarkEnd w:id="6"/>
      <w:r w:rsidR="00A34E5D">
        <w:rPr>
          <w:b/>
          <w:color w:val="auto"/>
        </w:rPr>
        <w:t>.</w:t>
      </w:r>
      <w:r w:rsidR="005A2F9A">
        <w:rPr>
          <w:color w:val="auto"/>
        </w:rPr>
        <w:t xml:space="preserve"> </w:t>
      </w:r>
      <w:r w:rsidRPr="002560D5">
        <w:rPr>
          <w:szCs w:val="24"/>
        </w:rPr>
        <w:t xml:space="preserve">Tanto la </w:t>
      </w:r>
      <w:r w:rsidR="006424FB">
        <w:rPr>
          <w:szCs w:val="24"/>
        </w:rPr>
        <w:t>infl</w:t>
      </w:r>
      <w:r w:rsidR="00C92187">
        <w:rPr>
          <w:szCs w:val="24"/>
        </w:rPr>
        <w:t>amación como la sepsis disminuyen</w:t>
      </w:r>
      <w:r w:rsidRPr="002560D5">
        <w:rPr>
          <w:szCs w:val="24"/>
        </w:rPr>
        <w:t xml:space="preserve"> la disponibilidad de hierro al inhibir la absorción intestinal del mismo (inhibición de la ferroportina-1), aumentar su captación y almacenamiento por los macrófagos (aumento de ferritina) e inhibir su liberación desde el macrófago y el hígado a la </w:t>
      </w:r>
      <w:r>
        <w:rPr>
          <w:szCs w:val="24"/>
        </w:rPr>
        <w:t>transfe</w:t>
      </w:r>
      <w:r w:rsidRPr="002560D5">
        <w:rPr>
          <w:szCs w:val="24"/>
        </w:rPr>
        <w:t>rrina (inhibición de la ferroportina-1). Es decir, el Fe se quedaría acantonado en estas células y no estaría disponible para la eritropoyesis.</w:t>
      </w:r>
      <w:r>
        <w:rPr>
          <w:szCs w:val="24"/>
        </w:rPr>
        <w:t xml:space="preserve"> </w:t>
      </w:r>
      <w:r w:rsidR="00363784">
        <w:rPr>
          <w:szCs w:val="24"/>
        </w:rPr>
        <w:t>También</w:t>
      </w:r>
      <w:r w:rsidR="005E0C99" w:rsidRPr="002560D5">
        <w:rPr>
          <w:szCs w:val="24"/>
        </w:rPr>
        <w:t xml:space="preserve"> durante la sepsis se produce una rápida disminución del contenido en ácido s</w:t>
      </w:r>
      <w:r w:rsidR="005E0C99">
        <w:rPr>
          <w:szCs w:val="24"/>
        </w:rPr>
        <w:t>iálico de la transferr</w:t>
      </w:r>
      <w:r w:rsidR="005E0C99" w:rsidRPr="002560D5">
        <w:rPr>
          <w:szCs w:val="24"/>
        </w:rPr>
        <w:t xml:space="preserve">ina, que disminuye su estabilidad </w:t>
      </w:r>
      <w:r w:rsidR="005E0C99">
        <w:rPr>
          <w:szCs w:val="24"/>
        </w:rPr>
        <w:t>y</w:t>
      </w:r>
      <w:r w:rsidR="005E0C99" w:rsidRPr="002560D5">
        <w:rPr>
          <w:szCs w:val="24"/>
        </w:rPr>
        <w:t xml:space="preserve"> funcionalidad</w:t>
      </w:r>
      <w:r w:rsidR="005E0C99" w:rsidRPr="002560D5">
        <w:rPr>
          <w:szCs w:val="24"/>
          <w:vertAlign w:val="superscript"/>
        </w:rPr>
        <w:t>2</w:t>
      </w:r>
      <w:r w:rsidR="005E0C99">
        <w:rPr>
          <w:szCs w:val="24"/>
          <w:vertAlign w:val="superscript"/>
        </w:rPr>
        <w:t>4</w:t>
      </w:r>
      <w:r w:rsidR="005E0C99" w:rsidRPr="002560D5">
        <w:rPr>
          <w:szCs w:val="24"/>
        </w:rPr>
        <w:t xml:space="preserve">. </w:t>
      </w:r>
      <w:r w:rsidRPr="002560D5">
        <w:rPr>
          <w:szCs w:val="24"/>
        </w:rPr>
        <w:t>El déficit de folatos y vitamina B</w:t>
      </w:r>
      <w:r w:rsidRPr="00A34E5D">
        <w:rPr>
          <w:color w:val="000000" w:themeColor="text1"/>
          <w:szCs w:val="24"/>
          <w:vertAlign w:val="subscript"/>
        </w:rPr>
        <w:t>12</w:t>
      </w:r>
      <w:r w:rsidR="006424FB">
        <w:rPr>
          <w:szCs w:val="24"/>
        </w:rPr>
        <w:t xml:space="preserve"> puede </w:t>
      </w:r>
      <w:r w:rsidRPr="002560D5">
        <w:rPr>
          <w:szCs w:val="24"/>
        </w:rPr>
        <w:t>present</w:t>
      </w:r>
      <w:r w:rsidR="006424FB">
        <w:rPr>
          <w:szCs w:val="24"/>
        </w:rPr>
        <w:t>arse en</w:t>
      </w:r>
      <w:r>
        <w:rPr>
          <w:szCs w:val="24"/>
        </w:rPr>
        <w:t xml:space="preserve"> pacientes con estadías prolongadas en UCI</w:t>
      </w:r>
      <w:r w:rsidRPr="00A34E5D">
        <w:rPr>
          <w:color w:val="000000" w:themeColor="text1"/>
          <w:szCs w:val="24"/>
          <w:vertAlign w:val="superscript"/>
        </w:rPr>
        <w:t>25,</w:t>
      </w:r>
      <w:r>
        <w:rPr>
          <w:szCs w:val="24"/>
          <w:vertAlign w:val="superscript"/>
        </w:rPr>
        <w:t>26</w:t>
      </w:r>
      <w:r w:rsidR="006424FB">
        <w:rPr>
          <w:szCs w:val="24"/>
        </w:rPr>
        <w:t>. El</w:t>
      </w:r>
      <w:r w:rsidRPr="002560D5">
        <w:rPr>
          <w:szCs w:val="24"/>
        </w:rPr>
        <w:t xml:space="preserve"> déficit</w:t>
      </w:r>
      <w:r>
        <w:rPr>
          <w:szCs w:val="24"/>
        </w:rPr>
        <w:t xml:space="preserve"> nutricional</w:t>
      </w:r>
      <w:r w:rsidRPr="002560D5">
        <w:rPr>
          <w:szCs w:val="24"/>
        </w:rPr>
        <w:t xml:space="preserve"> es frecuente en pacientes prog</w:t>
      </w:r>
      <w:r>
        <w:rPr>
          <w:szCs w:val="24"/>
        </w:rPr>
        <w:t>ramados para cirugía,</w:t>
      </w:r>
      <w:r w:rsidRPr="002560D5">
        <w:rPr>
          <w:szCs w:val="24"/>
        </w:rPr>
        <w:t xml:space="preserve"> aumenta con la edad, se agrava tras cirugía gástrica, hepática o intestinal, y se asocia al uso </w:t>
      </w:r>
      <w:r w:rsidR="00CF044A">
        <w:rPr>
          <w:szCs w:val="24"/>
        </w:rPr>
        <w:t>de ciertos fármacos como</w:t>
      </w:r>
      <w:r w:rsidRPr="002560D5">
        <w:rPr>
          <w:szCs w:val="24"/>
        </w:rPr>
        <w:t xml:space="preserve"> metformina,</w:t>
      </w:r>
      <w:r w:rsidRPr="00DF4C2C">
        <w:rPr>
          <w:rFonts w:ascii="Arial" w:hAnsi="Arial" w:cs="Arial"/>
          <w:color w:val="545454"/>
          <w:shd w:val="clear" w:color="auto" w:fill="FFFFFF"/>
        </w:rPr>
        <w:t xml:space="preserve"> </w:t>
      </w:r>
      <w:r w:rsidR="00CF044A">
        <w:rPr>
          <w:color w:val="auto"/>
          <w:shd w:val="clear" w:color="auto" w:fill="FFFFFF"/>
        </w:rPr>
        <w:t>Sulfametoxazol</w:t>
      </w:r>
      <w:r w:rsidRPr="001B09F5">
        <w:rPr>
          <w:color w:val="auto"/>
          <w:shd w:val="clear" w:color="auto" w:fill="FFFFFF"/>
        </w:rPr>
        <w:t>-Trimetoprima</w:t>
      </w:r>
      <w:r>
        <w:rPr>
          <w:color w:val="545454"/>
          <w:shd w:val="clear" w:color="auto" w:fill="FFFFFF"/>
        </w:rPr>
        <w:t>,</w:t>
      </w:r>
      <w:r>
        <w:rPr>
          <w:szCs w:val="24"/>
        </w:rPr>
        <w:t xml:space="preserve"> y</w:t>
      </w:r>
      <w:r w:rsidRPr="002560D5">
        <w:rPr>
          <w:szCs w:val="24"/>
        </w:rPr>
        <w:t xml:space="preserve"> el consumo de alcohol.</w:t>
      </w:r>
      <w:r w:rsidR="005A2F9A">
        <w:rPr>
          <w:szCs w:val="24"/>
        </w:rPr>
        <w:t xml:space="preserve"> </w:t>
      </w:r>
      <w:r w:rsidRPr="002560D5">
        <w:rPr>
          <w:szCs w:val="24"/>
        </w:rPr>
        <w:t xml:space="preserve">Finalmente, dado el papel específico del óxido nítrico como mediador de la función hematopoyética, su empleo como gas anestésico o su liberación masiva en la sepsis favorecería un viraje megaloblástico de la médula ósea por bloqueo de la síntesis </w:t>
      </w:r>
      <w:r w:rsidRPr="001B09F5">
        <w:rPr>
          <w:color w:val="auto"/>
          <w:szCs w:val="24"/>
        </w:rPr>
        <w:t xml:space="preserve">del </w:t>
      </w:r>
      <w:r w:rsidRPr="001B09F5">
        <w:rPr>
          <w:color w:val="auto"/>
          <w:shd w:val="clear" w:color="auto" w:fill="FFFFFF"/>
        </w:rPr>
        <w:t>ácido</w:t>
      </w:r>
      <w:r w:rsidRPr="001B09F5">
        <w:rPr>
          <w:rFonts w:ascii="Arial" w:hAnsi="Arial" w:cs="Arial"/>
          <w:color w:val="auto"/>
          <w:shd w:val="clear" w:color="auto" w:fill="FFFFFF"/>
        </w:rPr>
        <w:t xml:space="preserve"> </w:t>
      </w:r>
      <w:r w:rsidRPr="001B09F5">
        <w:rPr>
          <w:color w:val="auto"/>
          <w:shd w:val="clear" w:color="auto" w:fill="FFFFFF"/>
        </w:rPr>
        <w:t>desoxirribonucleico</w:t>
      </w:r>
      <w:r w:rsidRPr="00C02992">
        <w:rPr>
          <w:color w:val="auto"/>
          <w:szCs w:val="24"/>
        </w:rPr>
        <w:t xml:space="preserve"> </w:t>
      </w:r>
      <w:r w:rsidRPr="005A088D">
        <w:rPr>
          <w:color w:val="000000" w:themeColor="text1"/>
          <w:szCs w:val="24"/>
        </w:rPr>
        <w:t>(</w:t>
      </w:r>
      <w:r w:rsidRPr="002560D5">
        <w:rPr>
          <w:szCs w:val="24"/>
        </w:rPr>
        <w:t>ADN</w:t>
      </w:r>
      <w:r>
        <w:rPr>
          <w:szCs w:val="24"/>
        </w:rPr>
        <w:t>)</w:t>
      </w:r>
      <w:r w:rsidRPr="002560D5">
        <w:rPr>
          <w:szCs w:val="24"/>
          <w:vertAlign w:val="superscript"/>
        </w:rPr>
        <w:t>17</w:t>
      </w:r>
      <w:r w:rsidRPr="002560D5">
        <w:rPr>
          <w:szCs w:val="24"/>
        </w:rPr>
        <w:t>. Algunos fármacos, como los inhibidores de la enzima de conv</w:t>
      </w:r>
      <w:r w:rsidR="001C64DE">
        <w:rPr>
          <w:szCs w:val="24"/>
        </w:rPr>
        <w:t>ersión de la angiotensina</w:t>
      </w:r>
      <w:r w:rsidRPr="002560D5">
        <w:rPr>
          <w:szCs w:val="24"/>
        </w:rPr>
        <w:t>, también han sido implicados en el desarrollo de anemia al reducir la liberación de EPO</w:t>
      </w:r>
      <w:r w:rsidRPr="002560D5">
        <w:rPr>
          <w:szCs w:val="24"/>
          <w:vertAlign w:val="superscript"/>
        </w:rPr>
        <w:t>2</w:t>
      </w:r>
      <w:r>
        <w:rPr>
          <w:szCs w:val="24"/>
          <w:vertAlign w:val="superscript"/>
        </w:rPr>
        <w:t>7</w:t>
      </w:r>
      <w:r w:rsidRPr="002560D5">
        <w:rPr>
          <w:szCs w:val="24"/>
        </w:rPr>
        <w:t>.</w:t>
      </w:r>
      <w:r>
        <w:rPr>
          <w:szCs w:val="24"/>
        </w:rPr>
        <w:t xml:space="preserve"> </w:t>
      </w:r>
    </w:p>
    <w:p w14:paraId="7E4321A2" w14:textId="77777777" w:rsidR="006050C3" w:rsidRPr="001B09F5" w:rsidRDefault="00A277E5" w:rsidP="002E4EFB">
      <w:pPr>
        <w:spacing w:after="0" w:line="480" w:lineRule="auto"/>
        <w:jc w:val="both"/>
        <w:rPr>
          <w:szCs w:val="24"/>
          <w:shd w:val="clear" w:color="auto" w:fill="FFFFFF"/>
        </w:rPr>
      </w:pPr>
      <w:r>
        <w:rPr>
          <w:szCs w:val="24"/>
        </w:rPr>
        <w:t>A</w:t>
      </w:r>
      <w:r w:rsidR="006050C3" w:rsidRPr="002560D5">
        <w:rPr>
          <w:szCs w:val="24"/>
        </w:rPr>
        <w:t>unque todos los mecanismos eti</w:t>
      </w:r>
      <w:r>
        <w:rPr>
          <w:szCs w:val="24"/>
        </w:rPr>
        <w:t>opatogénicos son posibles</w:t>
      </w:r>
      <w:r w:rsidR="006050C3" w:rsidRPr="002560D5">
        <w:rPr>
          <w:szCs w:val="24"/>
        </w:rPr>
        <w:t>, las pérdidas de sangre y la d</w:t>
      </w:r>
      <w:r w:rsidR="00947E27">
        <w:rPr>
          <w:szCs w:val="24"/>
        </w:rPr>
        <w:t>isminución de la eritropoyesis</w:t>
      </w:r>
      <w:r w:rsidR="006050C3" w:rsidRPr="002560D5">
        <w:rPr>
          <w:szCs w:val="24"/>
        </w:rPr>
        <w:t>, son los más frecuentes</w:t>
      </w:r>
      <w:r>
        <w:rPr>
          <w:szCs w:val="24"/>
        </w:rPr>
        <w:t xml:space="preserve"> en el paciente crítico</w:t>
      </w:r>
      <w:r w:rsidR="006050C3">
        <w:rPr>
          <w:szCs w:val="24"/>
        </w:rPr>
        <w:t xml:space="preserve">. </w:t>
      </w:r>
    </w:p>
    <w:p w14:paraId="706E4C98" w14:textId="77777777" w:rsidR="006050C3" w:rsidRPr="00A0468A" w:rsidRDefault="006050C3" w:rsidP="002E4EFB">
      <w:pPr>
        <w:pStyle w:val="Ttulo2"/>
        <w:spacing w:before="0" w:beforeAutospacing="0" w:after="0" w:afterAutospacing="0" w:line="480" w:lineRule="auto"/>
        <w:rPr>
          <w:sz w:val="24"/>
          <w:szCs w:val="24"/>
        </w:rPr>
      </w:pPr>
      <w:bookmarkStart w:id="7" w:name="_Toc431407910"/>
      <w:r w:rsidRPr="00A0468A">
        <w:rPr>
          <w:sz w:val="24"/>
          <w:szCs w:val="24"/>
        </w:rPr>
        <w:t>Respuesta fisiológica a la anemia</w:t>
      </w:r>
      <w:bookmarkEnd w:id="7"/>
      <w:r w:rsidRPr="00A0468A">
        <w:rPr>
          <w:sz w:val="24"/>
          <w:szCs w:val="24"/>
        </w:rPr>
        <w:t xml:space="preserve"> </w:t>
      </w:r>
    </w:p>
    <w:p w14:paraId="527D5017" w14:textId="77777777" w:rsidR="006050C3" w:rsidRDefault="006050C3" w:rsidP="002E4EFB">
      <w:pPr>
        <w:spacing w:after="0" w:line="480" w:lineRule="auto"/>
        <w:jc w:val="both"/>
        <w:rPr>
          <w:szCs w:val="24"/>
        </w:rPr>
      </w:pPr>
      <w:r w:rsidRPr="00676A53">
        <w:rPr>
          <w:szCs w:val="24"/>
        </w:rPr>
        <w:t xml:space="preserve">En condiciones </w:t>
      </w:r>
      <w:r>
        <w:rPr>
          <w:szCs w:val="24"/>
        </w:rPr>
        <w:t xml:space="preserve">fisiológicas el aporte de O2 es proporcional al gasto cardiaco y el contenido de O2 es cinco veces superior al consumo, lo cual garantiza </w:t>
      </w:r>
      <w:r w:rsidR="0039507E">
        <w:rPr>
          <w:szCs w:val="24"/>
        </w:rPr>
        <w:t>un aporte adecuado de O2</w:t>
      </w:r>
      <w:r>
        <w:rPr>
          <w:szCs w:val="24"/>
        </w:rPr>
        <w:t xml:space="preserve"> en situaciones de anemia.</w:t>
      </w:r>
      <w:r w:rsidR="001B09F5">
        <w:rPr>
          <w:szCs w:val="24"/>
        </w:rPr>
        <w:t xml:space="preserve"> </w:t>
      </w:r>
      <w:r w:rsidR="0039507E">
        <w:rPr>
          <w:szCs w:val="24"/>
        </w:rPr>
        <w:t>DO</w:t>
      </w:r>
      <w:r w:rsidR="0090751B">
        <w:rPr>
          <w:szCs w:val="24"/>
        </w:rPr>
        <w:t>2</w:t>
      </w:r>
      <w:r w:rsidR="001C64DE">
        <w:rPr>
          <w:szCs w:val="24"/>
        </w:rPr>
        <w:t xml:space="preserve"> (transporte</w:t>
      </w:r>
      <w:r w:rsidR="0039507E">
        <w:rPr>
          <w:szCs w:val="24"/>
        </w:rPr>
        <w:t xml:space="preserve"> de oxigeno): 15 mL/kg/min, VO</w:t>
      </w:r>
      <w:r w:rsidR="0090751B">
        <w:rPr>
          <w:szCs w:val="24"/>
        </w:rPr>
        <w:t>2</w:t>
      </w:r>
      <w:r w:rsidR="0039507E">
        <w:rPr>
          <w:szCs w:val="24"/>
        </w:rPr>
        <w:t xml:space="preserve"> (consumo de oxigeno)</w:t>
      </w:r>
      <w:r w:rsidR="001B09F5">
        <w:rPr>
          <w:szCs w:val="24"/>
        </w:rPr>
        <w:t>: 3 mL/Kg/min</w:t>
      </w:r>
      <w:r w:rsidR="007C3011">
        <w:rPr>
          <w:szCs w:val="24"/>
        </w:rPr>
        <w:t>.</w:t>
      </w:r>
      <w:r w:rsidR="001B09F5">
        <w:rPr>
          <w:szCs w:val="24"/>
        </w:rPr>
        <w:t xml:space="preserve">  </w:t>
      </w:r>
      <w:r w:rsidR="004C2B44">
        <w:rPr>
          <w:szCs w:val="24"/>
        </w:rPr>
        <w:t>DO/VO</w:t>
      </w:r>
      <w:r>
        <w:rPr>
          <w:szCs w:val="24"/>
        </w:rPr>
        <w:t>= 5:1</w:t>
      </w:r>
    </w:p>
    <w:p w14:paraId="2C765959" w14:textId="77777777" w:rsidR="00833587" w:rsidRDefault="00833587" w:rsidP="00833587">
      <w:pPr>
        <w:spacing w:after="0" w:line="480" w:lineRule="auto"/>
        <w:jc w:val="both"/>
        <w:rPr>
          <w:szCs w:val="24"/>
        </w:rPr>
      </w:pPr>
      <w:r>
        <w:rPr>
          <w:szCs w:val="24"/>
        </w:rPr>
        <w:t>La DO2 depende del volumen minu</w:t>
      </w:r>
      <w:r w:rsidR="0026781A">
        <w:rPr>
          <w:szCs w:val="24"/>
        </w:rPr>
        <w:t xml:space="preserve">to, la concentración de Hb y </w:t>
      </w:r>
      <w:r>
        <w:rPr>
          <w:szCs w:val="24"/>
        </w:rPr>
        <w:t>saturación arterial de O2 (SaO2). La tolerancia de la anemia depende del estado del volumen intravascul</w:t>
      </w:r>
      <w:r w:rsidR="0026781A">
        <w:rPr>
          <w:szCs w:val="24"/>
        </w:rPr>
        <w:t>ar, la reserva fisiológica y</w:t>
      </w:r>
      <w:r>
        <w:rPr>
          <w:szCs w:val="24"/>
        </w:rPr>
        <w:t xml:space="preserve"> tiempo de instalación. </w:t>
      </w:r>
    </w:p>
    <w:p w14:paraId="534E80C0" w14:textId="77777777" w:rsidR="002C5F8B" w:rsidRDefault="006050C3" w:rsidP="002E4EFB">
      <w:pPr>
        <w:spacing w:after="0" w:line="480" w:lineRule="auto"/>
        <w:jc w:val="both"/>
        <w:rPr>
          <w:szCs w:val="24"/>
        </w:rPr>
      </w:pPr>
      <w:r>
        <w:rPr>
          <w:szCs w:val="24"/>
        </w:rPr>
        <w:lastRenderedPageBreak/>
        <w:t xml:space="preserve">El problema aparece cuando la </w:t>
      </w:r>
      <w:r w:rsidR="004C2B44">
        <w:rPr>
          <w:szCs w:val="24"/>
        </w:rPr>
        <w:t>relación cae  DO</w:t>
      </w:r>
      <w:r w:rsidR="0026781A">
        <w:rPr>
          <w:szCs w:val="24"/>
        </w:rPr>
        <w:t>2</w:t>
      </w:r>
      <w:r w:rsidR="004C2B44">
        <w:rPr>
          <w:szCs w:val="24"/>
        </w:rPr>
        <w:t>/VO</w:t>
      </w:r>
      <w:r w:rsidR="0026781A">
        <w:rPr>
          <w:szCs w:val="24"/>
        </w:rPr>
        <w:t>2</w:t>
      </w:r>
      <w:r>
        <w:rPr>
          <w:szCs w:val="24"/>
        </w:rPr>
        <w:t>= 2:1, el consumo se hace dependiente patológico del aporte</w:t>
      </w:r>
      <w:r w:rsidR="0026781A">
        <w:rPr>
          <w:szCs w:val="24"/>
        </w:rPr>
        <w:t>,</w:t>
      </w:r>
      <w:r>
        <w:rPr>
          <w:szCs w:val="24"/>
        </w:rPr>
        <w:t xml:space="preserve"> aparece mecanismo de anaerobiosis y acidosis que int</w:t>
      </w:r>
      <w:r w:rsidR="006424FB">
        <w:rPr>
          <w:szCs w:val="24"/>
        </w:rPr>
        <w:t>enta satisfacer las necesidades</w:t>
      </w:r>
      <w:r>
        <w:rPr>
          <w:szCs w:val="24"/>
        </w:rPr>
        <w:t xml:space="preserve"> energéticas</w:t>
      </w:r>
      <w:r>
        <w:rPr>
          <w:szCs w:val="24"/>
          <w:vertAlign w:val="superscript"/>
        </w:rPr>
        <w:t>28</w:t>
      </w:r>
      <w:r w:rsidRPr="00F91F71">
        <w:rPr>
          <w:color w:val="333333"/>
          <w:szCs w:val="24"/>
          <w:shd w:val="clear" w:color="auto" w:fill="FFFFFF"/>
        </w:rPr>
        <w:t xml:space="preserve">. </w:t>
      </w:r>
      <w:r>
        <w:rPr>
          <w:szCs w:val="24"/>
        </w:rPr>
        <w:t>En este punto crítico</w:t>
      </w:r>
      <w:r w:rsidR="004C2B44">
        <w:rPr>
          <w:szCs w:val="24"/>
        </w:rPr>
        <w:t xml:space="preserve"> se podría indicar transfundir.</w:t>
      </w:r>
      <w:r>
        <w:rPr>
          <w:color w:val="333333"/>
          <w:szCs w:val="24"/>
          <w:shd w:val="clear" w:color="auto" w:fill="FFFFFF"/>
        </w:rPr>
        <w:t xml:space="preserve"> </w:t>
      </w:r>
      <w:r>
        <w:rPr>
          <w:szCs w:val="24"/>
        </w:rPr>
        <w:t>La DO2 crítica depende de otros factores de tipo hemodinámicos, respiratorios</w:t>
      </w:r>
      <w:r w:rsidR="0026781A">
        <w:rPr>
          <w:szCs w:val="24"/>
        </w:rPr>
        <w:t>,</w:t>
      </w:r>
      <w:r>
        <w:rPr>
          <w:szCs w:val="24"/>
        </w:rPr>
        <w:t xml:space="preserve"> bioquímicos, y puede variar entre pacientes y aun en un mismo paciente en diferentes momentos</w:t>
      </w:r>
      <w:r w:rsidR="004C2B44">
        <w:rPr>
          <w:szCs w:val="24"/>
        </w:rPr>
        <w:t>,</w:t>
      </w:r>
      <w:r>
        <w:rPr>
          <w:szCs w:val="24"/>
          <w:vertAlign w:val="superscript"/>
        </w:rPr>
        <w:t>29</w:t>
      </w:r>
      <w:r w:rsidR="00144E02">
        <w:rPr>
          <w:szCs w:val="24"/>
        </w:rPr>
        <w:t xml:space="preserve"> siendo </w:t>
      </w:r>
      <w:r>
        <w:rPr>
          <w:szCs w:val="24"/>
        </w:rPr>
        <w:t>complej</w:t>
      </w:r>
      <w:r w:rsidR="00144E02">
        <w:rPr>
          <w:szCs w:val="24"/>
        </w:rPr>
        <w:t>o</w:t>
      </w:r>
      <w:r>
        <w:rPr>
          <w:szCs w:val="24"/>
        </w:rPr>
        <w:t xml:space="preserve"> durante el manejo de los pacientes poder definir u</w:t>
      </w:r>
      <w:r w:rsidR="002A0740">
        <w:rPr>
          <w:szCs w:val="24"/>
        </w:rPr>
        <w:t>n punto crítico</w:t>
      </w:r>
      <w:r>
        <w:rPr>
          <w:szCs w:val="24"/>
        </w:rPr>
        <w:t>.</w:t>
      </w:r>
      <w:r w:rsidR="00541BBF">
        <w:rPr>
          <w:color w:val="333333"/>
          <w:szCs w:val="24"/>
          <w:shd w:val="clear" w:color="auto" w:fill="FFFFFF"/>
        </w:rPr>
        <w:t xml:space="preserve"> </w:t>
      </w:r>
      <w:r>
        <w:rPr>
          <w:szCs w:val="24"/>
        </w:rPr>
        <w:t>En la anemia la capacidad de transporte de O2 esta disminuida, pero la oxi</w:t>
      </w:r>
      <w:r w:rsidR="0090751B">
        <w:rPr>
          <w:szCs w:val="24"/>
        </w:rPr>
        <w:t>genación tisular se preserva</w:t>
      </w:r>
      <w:r>
        <w:rPr>
          <w:szCs w:val="24"/>
        </w:rPr>
        <w:t xml:space="preserve"> por</w:t>
      </w:r>
      <w:r w:rsidR="006A47B5">
        <w:rPr>
          <w:szCs w:val="24"/>
        </w:rPr>
        <w:t xml:space="preserve"> debajo de </w:t>
      </w:r>
      <w:r>
        <w:rPr>
          <w:szCs w:val="24"/>
        </w:rPr>
        <w:t xml:space="preserve"> </w:t>
      </w:r>
      <w:r w:rsidR="006A47B5">
        <w:rPr>
          <w:szCs w:val="24"/>
        </w:rPr>
        <w:t xml:space="preserve">Hb 10g/dl </w:t>
      </w:r>
      <w:r>
        <w:rPr>
          <w:szCs w:val="24"/>
        </w:rPr>
        <w:t>por cambios adaptativos:</w:t>
      </w:r>
      <w:r w:rsidR="001B09F5">
        <w:rPr>
          <w:szCs w:val="24"/>
        </w:rPr>
        <w:t xml:space="preserve"> </w:t>
      </w:r>
      <w:r w:rsidR="006A47B5">
        <w:rPr>
          <w:szCs w:val="24"/>
        </w:rPr>
        <w:t>d</w:t>
      </w:r>
      <w:r w:rsidRPr="001B09F5">
        <w:rPr>
          <w:szCs w:val="24"/>
        </w:rPr>
        <w:t>esplazamiento de la curva de disociac</w:t>
      </w:r>
      <w:r w:rsidR="001F66AC">
        <w:rPr>
          <w:szCs w:val="24"/>
        </w:rPr>
        <w:t>ión de la oxihemoglobina</w:t>
      </w:r>
      <w:r w:rsidRPr="001B09F5">
        <w:rPr>
          <w:szCs w:val="24"/>
        </w:rPr>
        <w:t xml:space="preserve"> a la derecha, disminuyendo la afinidad de la Hb por el O2, lo que facilita su distribución periférica</w:t>
      </w:r>
      <w:r w:rsidR="006A47B5">
        <w:rPr>
          <w:szCs w:val="24"/>
        </w:rPr>
        <w:t>; m</w:t>
      </w:r>
      <w:r w:rsidRPr="001B09F5">
        <w:rPr>
          <w:szCs w:val="24"/>
        </w:rPr>
        <w:t>odificaciones hemodinámicas mediada po</w:t>
      </w:r>
      <w:r w:rsidR="006A47B5">
        <w:rPr>
          <w:szCs w:val="24"/>
        </w:rPr>
        <w:t>r activación del sistema renina</w:t>
      </w:r>
      <w:r w:rsidRPr="001B09F5">
        <w:rPr>
          <w:szCs w:val="24"/>
        </w:rPr>
        <w:t>–angiotensina–aldosterona y por aumento del tono simpático</w:t>
      </w:r>
      <w:r w:rsidR="006A47B5">
        <w:rPr>
          <w:szCs w:val="24"/>
        </w:rPr>
        <w:t>; c</w:t>
      </w:r>
      <w:r w:rsidR="001B09F5">
        <w:rPr>
          <w:szCs w:val="24"/>
        </w:rPr>
        <w:t>ambios microcirculatrios</w:t>
      </w:r>
      <w:r w:rsidR="002C5F8B">
        <w:rPr>
          <w:szCs w:val="24"/>
        </w:rPr>
        <w:t xml:space="preserve"> con</w:t>
      </w:r>
      <w:r w:rsidR="001B09F5">
        <w:rPr>
          <w:szCs w:val="24"/>
        </w:rPr>
        <w:t xml:space="preserve"> </w:t>
      </w:r>
      <w:r w:rsidR="002C5F8B">
        <w:rPr>
          <w:szCs w:val="24"/>
        </w:rPr>
        <w:t>aumento</w:t>
      </w:r>
      <w:r w:rsidR="001F66AC">
        <w:rPr>
          <w:szCs w:val="24"/>
        </w:rPr>
        <w:t xml:space="preserve"> de la velocidad del flujo a</w:t>
      </w:r>
      <w:r w:rsidRPr="001B09F5">
        <w:rPr>
          <w:szCs w:val="24"/>
        </w:rPr>
        <w:t xml:space="preserve"> </w:t>
      </w:r>
      <w:r w:rsidR="001F66AC">
        <w:rPr>
          <w:szCs w:val="24"/>
        </w:rPr>
        <w:t>el nivel capilar disminuyendo</w:t>
      </w:r>
      <w:r w:rsidRPr="001B09F5">
        <w:rPr>
          <w:szCs w:val="24"/>
        </w:rPr>
        <w:t xml:space="preserve"> del tiempo de transito del GR.</w:t>
      </w:r>
      <w:bookmarkStart w:id="8" w:name="_Toc431407911"/>
    </w:p>
    <w:p w14:paraId="05AE224A" w14:textId="77777777" w:rsidR="006050C3" w:rsidRPr="002C5F8B" w:rsidRDefault="006050C3" w:rsidP="002E4EFB">
      <w:pPr>
        <w:spacing w:after="0" w:line="480" w:lineRule="auto"/>
        <w:jc w:val="both"/>
        <w:rPr>
          <w:rStyle w:val="elsevierstylesection"/>
          <w:b/>
          <w:szCs w:val="24"/>
        </w:rPr>
      </w:pPr>
      <w:r w:rsidRPr="002C5F8B">
        <w:rPr>
          <w:rStyle w:val="elsevierstylesection"/>
          <w:b/>
          <w:szCs w:val="24"/>
        </w:rPr>
        <w:t>Transfusión de glóbulos rojos</w:t>
      </w:r>
      <w:bookmarkEnd w:id="8"/>
      <w:r w:rsidRPr="002C5F8B">
        <w:rPr>
          <w:rStyle w:val="elsevierstylesection"/>
          <w:b/>
          <w:szCs w:val="24"/>
        </w:rPr>
        <w:t xml:space="preserve"> </w:t>
      </w:r>
    </w:p>
    <w:p w14:paraId="046630E0" w14:textId="77777777" w:rsidR="006050C3" w:rsidRPr="00965C25" w:rsidRDefault="006424FB" w:rsidP="002E4EFB">
      <w:pPr>
        <w:spacing w:after="0" w:line="480" w:lineRule="auto"/>
        <w:jc w:val="both"/>
        <w:rPr>
          <w:bCs/>
          <w:color w:val="auto"/>
          <w:szCs w:val="24"/>
        </w:rPr>
      </w:pPr>
      <w:r w:rsidRPr="00965C25">
        <w:rPr>
          <w:rStyle w:val="elsevierstylesection"/>
          <w:color w:val="auto"/>
        </w:rPr>
        <w:t xml:space="preserve">Los objetivos </w:t>
      </w:r>
      <w:r w:rsidR="006050C3" w:rsidRPr="00965C25">
        <w:rPr>
          <w:rStyle w:val="elsevierstylesection"/>
          <w:color w:val="auto"/>
        </w:rPr>
        <w:t xml:space="preserve">del tratamiento de la anemia son minimizar los síntomas </w:t>
      </w:r>
      <w:r w:rsidR="00833587">
        <w:rPr>
          <w:rStyle w:val="elsevierstylesection"/>
          <w:color w:val="auto"/>
        </w:rPr>
        <w:t>(</w:t>
      </w:r>
      <w:r w:rsidR="0026781A">
        <w:rPr>
          <w:szCs w:val="24"/>
        </w:rPr>
        <w:t>fatiga, disnea,</w:t>
      </w:r>
      <w:r w:rsidR="00833587">
        <w:rPr>
          <w:szCs w:val="24"/>
        </w:rPr>
        <w:t xml:space="preserve"> baja tolerancia al ejercicio)</w:t>
      </w:r>
      <w:r w:rsidR="0026781A">
        <w:rPr>
          <w:rStyle w:val="elsevierstylesection"/>
          <w:color w:val="auto"/>
        </w:rPr>
        <w:t>, evitar</w:t>
      </w:r>
      <w:r w:rsidR="006050C3" w:rsidRPr="00965C25">
        <w:rPr>
          <w:rStyle w:val="elsevierstylesection"/>
          <w:color w:val="auto"/>
        </w:rPr>
        <w:t xml:space="preserve"> complicaciones sis</w:t>
      </w:r>
      <w:r w:rsidR="004438A0">
        <w:rPr>
          <w:rStyle w:val="elsevierstylesection"/>
          <w:color w:val="auto"/>
        </w:rPr>
        <w:t>témicas asociados a la hipoxia,</w:t>
      </w:r>
      <w:r w:rsidR="006050C3" w:rsidRPr="00965C25">
        <w:rPr>
          <w:rStyle w:val="elsevierstylesection"/>
          <w:color w:val="auto"/>
        </w:rPr>
        <w:t xml:space="preserve"> mejorar la calidad de vida y supervivenci</w:t>
      </w:r>
      <w:r w:rsidR="006050C3" w:rsidRPr="00965C25">
        <w:rPr>
          <w:rStyle w:val="elsevierstylesup"/>
          <w:color w:val="auto"/>
        </w:rPr>
        <w:t>a</w:t>
      </w:r>
      <w:r w:rsidR="006050C3" w:rsidRPr="00965C25">
        <w:rPr>
          <w:rStyle w:val="elsevierstylesection"/>
          <w:color w:val="auto"/>
        </w:rPr>
        <w:t xml:space="preserve">. </w:t>
      </w:r>
      <w:r w:rsidR="006050C3" w:rsidRPr="00965C25">
        <w:rPr>
          <w:bCs/>
          <w:color w:val="auto"/>
          <w:szCs w:val="24"/>
        </w:rPr>
        <w:t>Al transfundi</w:t>
      </w:r>
      <w:r w:rsidR="00833587">
        <w:rPr>
          <w:bCs/>
          <w:color w:val="auto"/>
          <w:szCs w:val="24"/>
        </w:rPr>
        <w:t>r</w:t>
      </w:r>
      <w:r w:rsidRPr="00965C25">
        <w:rPr>
          <w:bCs/>
          <w:color w:val="auto"/>
          <w:szCs w:val="24"/>
        </w:rPr>
        <w:t xml:space="preserve"> se incrementa</w:t>
      </w:r>
      <w:r w:rsidR="00833587" w:rsidRPr="00833587">
        <w:rPr>
          <w:szCs w:val="24"/>
        </w:rPr>
        <w:t xml:space="preserve"> </w:t>
      </w:r>
      <w:r w:rsidR="00833587">
        <w:rPr>
          <w:szCs w:val="24"/>
        </w:rPr>
        <w:t>la masa globular,</w:t>
      </w:r>
      <w:r w:rsidR="006050C3" w:rsidRPr="00965C25">
        <w:rPr>
          <w:bCs/>
          <w:color w:val="auto"/>
          <w:szCs w:val="24"/>
        </w:rPr>
        <w:t xml:space="preserve"> el aporte de oxigeno a los tejidos, pres</w:t>
      </w:r>
      <w:r w:rsidR="002A0740" w:rsidRPr="00965C25">
        <w:rPr>
          <w:bCs/>
          <w:color w:val="auto"/>
          <w:szCs w:val="24"/>
        </w:rPr>
        <w:t>erva</w:t>
      </w:r>
      <w:r w:rsidRPr="00965C25">
        <w:rPr>
          <w:bCs/>
          <w:color w:val="auto"/>
          <w:szCs w:val="24"/>
        </w:rPr>
        <w:t xml:space="preserve"> la función miocárdica, </w:t>
      </w:r>
      <w:r w:rsidR="006050C3" w:rsidRPr="00965C25">
        <w:rPr>
          <w:bCs/>
          <w:color w:val="auto"/>
          <w:szCs w:val="24"/>
        </w:rPr>
        <w:t>mejora</w:t>
      </w:r>
      <w:r w:rsidRPr="00965C25">
        <w:rPr>
          <w:bCs/>
          <w:color w:val="auto"/>
          <w:szCs w:val="24"/>
        </w:rPr>
        <w:t xml:space="preserve"> la función hemostática, modula</w:t>
      </w:r>
      <w:r w:rsidR="006050C3" w:rsidRPr="00965C25">
        <w:rPr>
          <w:bCs/>
          <w:color w:val="auto"/>
          <w:szCs w:val="24"/>
        </w:rPr>
        <w:t xml:space="preserve"> la respuesta bioquímica y funci</w:t>
      </w:r>
      <w:r w:rsidR="002A0740" w:rsidRPr="00965C25">
        <w:rPr>
          <w:bCs/>
          <w:color w:val="auto"/>
          <w:szCs w:val="24"/>
        </w:rPr>
        <w:t>onal de las plaquetas, favorece</w:t>
      </w:r>
      <w:r w:rsidR="006050C3" w:rsidRPr="00965C25">
        <w:rPr>
          <w:bCs/>
          <w:color w:val="auto"/>
          <w:szCs w:val="24"/>
        </w:rPr>
        <w:t xml:space="preserve"> su activación, marginación e interacción con el endotelio lesionado, con lo que contribuyen a la trombosis y hemostasia</w:t>
      </w:r>
      <w:r w:rsidR="006050C3" w:rsidRPr="00965C25">
        <w:rPr>
          <w:bCs/>
          <w:color w:val="auto"/>
          <w:szCs w:val="24"/>
          <w:vertAlign w:val="superscript"/>
        </w:rPr>
        <w:t xml:space="preserve">29 </w:t>
      </w:r>
      <w:r w:rsidR="006050C3" w:rsidRPr="00965C25">
        <w:rPr>
          <w:rStyle w:val="elsevierstylesection"/>
          <w:color w:val="auto"/>
        </w:rPr>
        <w:t>Basándonos en parámetros indirectos (saturación arterial de O</w:t>
      </w:r>
      <w:r w:rsidR="006050C3" w:rsidRPr="00965C25">
        <w:rPr>
          <w:rStyle w:val="elsevierstyleinf"/>
          <w:color w:val="auto"/>
        </w:rPr>
        <w:t>2</w:t>
      </w:r>
      <w:r w:rsidR="006050C3" w:rsidRPr="00965C25">
        <w:rPr>
          <w:rStyle w:val="elsevierstylesection"/>
          <w:color w:val="auto"/>
        </w:rPr>
        <w:t xml:space="preserve">, niveles de lactato) se considera el umbral transfusional </w:t>
      </w:r>
      <w:r w:rsidR="004438A0">
        <w:rPr>
          <w:rStyle w:val="elsevierstyleitalic"/>
          <w:color w:val="auto"/>
        </w:rPr>
        <w:t>(</w:t>
      </w:r>
      <w:r w:rsidR="006050C3" w:rsidRPr="00965C25">
        <w:rPr>
          <w:rStyle w:val="elsevierstyleitalic"/>
          <w:color w:val="auto"/>
        </w:rPr>
        <w:t>trigger)</w:t>
      </w:r>
      <w:r w:rsidR="006050C3" w:rsidRPr="00965C25">
        <w:rPr>
          <w:rStyle w:val="elsevierstylesection"/>
          <w:color w:val="auto"/>
        </w:rPr>
        <w:t xml:space="preserve"> en pacientes normovolémicos sin patología cardiovascular </w:t>
      </w:r>
      <w:r w:rsidR="002B000A">
        <w:rPr>
          <w:rStyle w:val="elsevierstylesection"/>
          <w:color w:val="auto"/>
        </w:rPr>
        <w:t>Hb en torno a</w:t>
      </w:r>
      <w:r w:rsidR="006050C3" w:rsidRPr="00965C25">
        <w:rPr>
          <w:rStyle w:val="elsevierstylesection"/>
          <w:color w:val="auto"/>
        </w:rPr>
        <w:t xml:space="preserve"> 7g/dl</w:t>
      </w:r>
      <w:r w:rsidR="006050C3" w:rsidRPr="00965C25">
        <w:rPr>
          <w:rStyle w:val="elsevierstylesup"/>
          <w:color w:val="auto"/>
          <w:vertAlign w:val="superscript"/>
        </w:rPr>
        <w:t>30</w:t>
      </w:r>
      <w:r w:rsidR="006050C3" w:rsidRPr="00965C25">
        <w:rPr>
          <w:rStyle w:val="elsevierstylesup"/>
          <w:color w:val="auto"/>
        </w:rPr>
        <w:t>.</w:t>
      </w:r>
      <w:r w:rsidR="002C5F8B" w:rsidRPr="00965C25">
        <w:rPr>
          <w:rStyle w:val="elsevierstylesup"/>
          <w:bCs/>
          <w:color w:val="auto"/>
          <w:szCs w:val="24"/>
        </w:rPr>
        <w:t xml:space="preserve"> </w:t>
      </w:r>
      <w:r w:rsidR="006050C3" w:rsidRPr="00965C25">
        <w:rPr>
          <w:rStyle w:val="elsevierstylesection"/>
          <w:color w:val="auto"/>
        </w:rPr>
        <w:t>Hébert et al</w:t>
      </w:r>
      <w:r w:rsidR="006050C3" w:rsidRPr="00965C25">
        <w:rPr>
          <w:rStyle w:val="elsevierstylesection"/>
          <w:color w:val="auto"/>
          <w:vertAlign w:val="superscript"/>
        </w:rPr>
        <w:t>30</w:t>
      </w:r>
      <w:r w:rsidR="006050C3" w:rsidRPr="00965C25">
        <w:rPr>
          <w:rStyle w:val="elsevierstylesection"/>
          <w:color w:val="auto"/>
        </w:rPr>
        <w:t xml:space="preserve"> (estudio TRICC, ensayo clínico </w:t>
      </w:r>
      <w:r w:rsidR="007A2731">
        <w:rPr>
          <w:rStyle w:val="elsevierstylesection"/>
          <w:color w:val="auto"/>
        </w:rPr>
        <w:t xml:space="preserve">randomizado </w:t>
      </w:r>
      <w:r w:rsidR="006050C3" w:rsidRPr="00965C25">
        <w:rPr>
          <w:rStyle w:val="elsevierstylesection"/>
          <w:color w:val="auto"/>
        </w:rPr>
        <w:t xml:space="preserve">con 838 pacientes críticos con normovolemia) </w:t>
      </w:r>
      <w:r w:rsidR="007A2731" w:rsidRPr="00965C25">
        <w:rPr>
          <w:rStyle w:val="elsevierstylesection"/>
          <w:color w:val="auto"/>
        </w:rPr>
        <w:t xml:space="preserve">comprobaron </w:t>
      </w:r>
      <w:r w:rsidR="006050C3" w:rsidRPr="00965C25">
        <w:rPr>
          <w:rStyle w:val="elsevierstylesection"/>
          <w:color w:val="auto"/>
        </w:rPr>
        <w:t>la equivalencia, en términos de complicaciones y mortalidad, de una estrategia transfusiona</w:t>
      </w:r>
      <w:r w:rsidR="00561869">
        <w:rPr>
          <w:rStyle w:val="elsevierstylesection"/>
          <w:color w:val="auto"/>
        </w:rPr>
        <w:t>l restrictiva (</w:t>
      </w:r>
      <w:r w:rsidR="004C2B44">
        <w:rPr>
          <w:rStyle w:val="elsevierstylesection"/>
          <w:color w:val="auto"/>
        </w:rPr>
        <w:t>Hb</w:t>
      </w:r>
      <w:r w:rsidR="006050C3" w:rsidRPr="00965C25">
        <w:rPr>
          <w:rStyle w:val="elsevierstylesection"/>
          <w:color w:val="auto"/>
        </w:rPr>
        <w:t xml:space="preserve"> 7–</w:t>
      </w:r>
      <w:r w:rsidR="004C2B44">
        <w:rPr>
          <w:rStyle w:val="elsevierstylesection"/>
          <w:color w:val="auto"/>
        </w:rPr>
        <w:t>9</w:t>
      </w:r>
      <w:r w:rsidR="006050C3" w:rsidRPr="00965C25">
        <w:rPr>
          <w:rStyle w:val="elsevierstylesection"/>
          <w:color w:val="auto"/>
        </w:rPr>
        <w:t>g/dl</w:t>
      </w:r>
      <w:r w:rsidR="00561869">
        <w:rPr>
          <w:rStyle w:val="elsevierstylesection"/>
          <w:color w:val="auto"/>
        </w:rPr>
        <w:t>) frente a otra más liberal (</w:t>
      </w:r>
      <w:r w:rsidR="006050C3" w:rsidRPr="00965C25">
        <w:rPr>
          <w:rStyle w:val="elsevierstylesection"/>
          <w:color w:val="auto"/>
        </w:rPr>
        <w:t xml:space="preserve">10–12g/dl), permitiendo la estrategia restrictiva una reducción del 54% del número de transfusiones </w:t>
      </w:r>
      <w:r w:rsidR="006050C3" w:rsidRPr="00965C25">
        <w:rPr>
          <w:rStyle w:val="elsevierstylesection"/>
          <w:color w:val="auto"/>
        </w:rPr>
        <w:lastRenderedPageBreak/>
        <w:t>(2,6 vs 5,6 concentrados de h</w:t>
      </w:r>
      <w:r w:rsidR="007E1261">
        <w:rPr>
          <w:rStyle w:val="elsevierstylesection"/>
          <w:color w:val="auto"/>
        </w:rPr>
        <w:t>ematíes/paciente). C</w:t>
      </w:r>
      <w:r w:rsidR="006050C3" w:rsidRPr="00965C25">
        <w:rPr>
          <w:rStyle w:val="elsevierstylesection"/>
          <w:color w:val="auto"/>
        </w:rPr>
        <w:t>omprobaron, asimismo, un descenso en la mortalidad a 30 días con la estrategia restrictiva en el su</w:t>
      </w:r>
      <w:r w:rsidR="007E1261">
        <w:rPr>
          <w:rStyle w:val="elsevierstylesection"/>
          <w:color w:val="auto"/>
        </w:rPr>
        <w:t>bgrupo de pacientes con</w:t>
      </w:r>
      <w:r w:rsidR="006050C3" w:rsidRPr="00965C25">
        <w:rPr>
          <w:rStyle w:val="elsevierstylesection"/>
          <w:color w:val="auto"/>
        </w:rPr>
        <w:t xml:space="preserve"> APACHE-II ≤20 (8,7% vs 16,1%) y en enfermos &lt;55 años (5,7% vs 13%)</w:t>
      </w:r>
      <w:r w:rsidR="006050C3" w:rsidRPr="00965C25">
        <w:rPr>
          <w:rStyle w:val="elsevierstylesup"/>
          <w:color w:val="auto"/>
          <w:vertAlign w:val="superscript"/>
        </w:rPr>
        <w:t>30</w:t>
      </w:r>
      <w:r w:rsidR="00662444">
        <w:rPr>
          <w:rStyle w:val="elsevierstylesection"/>
          <w:color w:val="auto"/>
        </w:rPr>
        <w:t xml:space="preserve">.  Incluso </w:t>
      </w:r>
      <w:r w:rsidR="006050C3" w:rsidRPr="00965C25">
        <w:rPr>
          <w:rStyle w:val="elsevierstylesection"/>
          <w:color w:val="auto"/>
        </w:rPr>
        <w:t xml:space="preserve">pacientes críticos portadores de enfermedad cardiovascular no se detectaron diferencias significativas de mortalidad entre los dos grupos (21% frente 23%), </w:t>
      </w:r>
      <w:r w:rsidR="002A0740" w:rsidRPr="00965C25">
        <w:rPr>
          <w:rStyle w:val="elsevierstylesection"/>
          <w:color w:val="auto"/>
        </w:rPr>
        <w:t xml:space="preserve">a excepción </w:t>
      </w:r>
      <w:r w:rsidR="006050C3" w:rsidRPr="00965C25">
        <w:rPr>
          <w:rStyle w:val="elsevierstylesection"/>
          <w:color w:val="auto"/>
        </w:rPr>
        <w:t>de los pacientes c</w:t>
      </w:r>
      <w:r w:rsidR="002A0740" w:rsidRPr="00965C25">
        <w:rPr>
          <w:rStyle w:val="elsevierstylesection"/>
          <w:color w:val="auto"/>
        </w:rPr>
        <w:t>on cardiopatía isquémica aguda</w:t>
      </w:r>
      <w:r w:rsidR="00D12738">
        <w:rPr>
          <w:rStyle w:val="elsevierstylesection"/>
          <w:color w:val="auto"/>
        </w:rPr>
        <w:t xml:space="preserve">, cuyo </w:t>
      </w:r>
      <w:r w:rsidR="006050C3" w:rsidRPr="00965C25">
        <w:rPr>
          <w:rStyle w:val="elsevierstylesection"/>
          <w:color w:val="auto"/>
        </w:rPr>
        <w:t xml:space="preserve">umbral recomendado </w:t>
      </w:r>
      <w:r w:rsidR="004D5607">
        <w:rPr>
          <w:rStyle w:val="elsevierstylesection"/>
          <w:color w:val="auto"/>
        </w:rPr>
        <w:t>fue</w:t>
      </w:r>
      <w:r w:rsidR="00D12738">
        <w:rPr>
          <w:rStyle w:val="elsevierstylesection"/>
          <w:color w:val="auto"/>
        </w:rPr>
        <w:t xml:space="preserve"> </w:t>
      </w:r>
      <w:r w:rsidR="002E001B">
        <w:rPr>
          <w:rStyle w:val="elsevierstylesection"/>
          <w:color w:val="auto"/>
        </w:rPr>
        <w:t>Hb</w:t>
      </w:r>
      <w:r w:rsidR="00944F3F">
        <w:rPr>
          <w:rStyle w:val="elsevierstylesection"/>
          <w:color w:val="auto"/>
        </w:rPr>
        <w:t xml:space="preserve"> </w:t>
      </w:r>
      <w:r w:rsidR="006050C3" w:rsidRPr="00965C25">
        <w:rPr>
          <w:rStyle w:val="elsevierstylesection"/>
          <w:color w:val="auto"/>
        </w:rPr>
        <w:t>8–10g/dl</w:t>
      </w:r>
      <w:r w:rsidR="006050C3" w:rsidRPr="00965C25">
        <w:rPr>
          <w:rStyle w:val="elsevierstylesup"/>
          <w:color w:val="auto"/>
          <w:vertAlign w:val="superscript"/>
        </w:rPr>
        <w:t>31</w:t>
      </w:r>
      <w:r w:rsidR="006050C3" w:rsidRPr="00965C25">
        <w:rPr>
          <w:rStyle w:val="elsevierstylesection"/>
          <w:color w:val="auto"/>
        </w:rPr>
        <w:t>. Por otra parte, el incremento de Hb y de O</w:t>
      </w:r>
      <w:r w:rsidR="006050C3" w:rsidRPr="00965C25">
        <w:rPr>
          <w:rStyle w:val="elsevierstyleinf"/>
          <w:color w:val="auto"/>
        </w:rPr>
        <w:t>2</w:t>
      </w:r>
      <w:r w:rsidR="006050C3" w:rsidRPr="00965C25">
        <w:rPr>
          <w:rStyle w:val="elsevierstylesection"/>
          <w:color w:val="auto"/>
        </w:rPr>
        <w:t xml:space="preserve"> disponible no siempre se asocian a un incremento paralelo del consumo tisular de O</w:t>
      </w:r>
      <w:r w:rsidR="006050C3" w:rsidRPr="00965C25">
        <w:rPr>
          <w:rStyle w:val="elsevierstyleinf"/>
          <w:color w:val="auto"/>
        </w:rPr>
        <w:t>2</w:t>
      </w:r>
      <w:r w:rsidR="003D5D5D">
        <w:rPr>
          <w:rStyle w:val="elsevierstylesection"/>
          <w:color w:val="auto"/>
        </w:rPr>
        <w:t xml:space="preserve"> y</w:t>
      </w:r>
      <w:r w:rsidR="006050C3" w:rsidRPr="00965C25">
        <w:rPr>
          <w:rStyle w:val="elsevierstylesection"/>
          <w:color w:val="auto"/>
        </w:rPr>
        <w:t xml:space="preserve"> reversión de los efectos deletéreos de la anemia. </w:t>
      </w:r>
      <w:r w:rsidR="00541BBF" w:rsidRPr="00965C25">
        <w:rPr>
          <w:rStyle w:val="elsevierstylesection"/>
          <w:color w:val="auto"/>
        </w:rPr>
        <w:t xml:space="preserve"> </w:t>
      </w:r>
      <w:r w:rsidR="006050C3" w:rsidRPr="00965C25">
        <w:rPr>
          <w:rStyle w:val="elsevierstylesection"/>
          <w:color w:val="auto"/>
        </w:rPr>
        <w:t>Hasta la fecha, no disponemos de estudios qu</w:t>
      </w:r>
      <w:r w:rsidR="009B20BE">
        <w:rPr>
          <w:rStyle w:val="elsevierstylesection"/>
          <w:color w:val="auto"/>
        </w:rPr>
        <w:t xml:space="preserve">e apoyen firmemente </w:t>
      </w:r>
      <w:r w:rsidR="006050C3" w:rsidRPr="00965C25">
        <w:rPr>
          <w:rStyle w:val="elsevierstylesection"/>
          <w:color w:val="auto"/>
        </w:rPr>
        <w:t xml:space="preserve"> la transfu</w:t>
      </w:r>
      <w:r w:rsidR="009B20BE">
        <w:rPr>
          <w:rStyle w:val="elsevierstylesection"/>
          <w:color w:val="auto"/>
        </w:rPr>
        <w:t>sión de glóbulos rojos</w:t>
      </w:r>
      <w:r w:rsidR="006050C3" w:rsidRPr="00965C25">
        <w:rPr>
          <w:rStyle w:val="elsevierstylesection"/>
          <w:color w:val="auto"/>
        </w:rPr>
        <w:t xml:space="preserve"> en pacientes críticos hemodinamicamente estables sin evidencia de sangrado agudo</w:t>
      </w:r>
      <w:r w:rsidR="00BD4538">
        <w:rPr>
          <w:rStyle w:val="elsevierstylesection"/>
          <w:color w:val="auto"/>
        </w:rPr>
        <w:t>.</w:t>
      </w:r>
      <w:r w:rsidR="009B20BE">
        <w:rPr>
          <w:rStyle w:val="elsevierstylesection"/>
          <w:color w:val="auto"/>
        </w:rPr>
        <w:t xml:space="preserve"> </w:t>
      </w:r>
      <w:r w:rsidR="009B20BE">
        <w:rPr>
          <w:color w:val="auto"/>
        </w:rPr>
        <w:t>E</w:t>
      </w:r>
      <w:r w:rsidR="00D150FA">
        <w:rPr>
          <w:color w:val="auto"/>
        </w:rPr>
        <w:t>n e</w:t>
      </w:r>
      <w:r w:rsidR="006050C3" w:rsidRPr="00965C25">
        <w:rPr>
          <w:color w:val="auto"/>
        </w:rPr>
        <w:t>l estudio FOCUS</w:t>
      </w:r>
      <w:r w:rsidR="006050C3" w:rsidRPr="00965C25">
        <w:rPr>
          <w:color w:val="auto"/>
          <w:vertAlign w:val="superscript"/>
        </w:rPr>
        <w:t>33</w:t>
      </w:r>
      <w:r w:rsidR="0023387C" w:rsidRPr="00965C25">
        <w:rPr>
          <w:color w:val="auto"/>
        </w:rPr>
        <w:t>;</w:t>
      </w:r>
      <w:r w:rsidR="006050C3" w:rsidRPr="00965C25">
        <w:rPr>
          <w:color w:val="auto"/>
          <w:vertAlign w:val="superscript"/>
        </w:rPr>
        <w:t xml:space="preserve"> </w:t>
      </w:r>
      <w:r w:rsidR="009B20BE" w:rsidRPr="00965C25">
        <w:rPr>
          <w:color w:val="auto"/>
        </w:rPr>
        <w:t>pacientes postoperatorios</w:t>
      </w:r>
      <w:r w:rsidR="009B20BE">
        <w:rPr>
          <w:color w:val="auto"/>
        </w:rPr>
        <w:t>,</w:t>
      </w:r>
      <w:r w:rsidR="009B20BE" w:rsidRPr="00965C25">
        <w:rPr>
          <w:color w:val="auto"/>
        </w:rPr>
        <w:t xml:space="preserve"> </w:t>
      </w:r>
      <w:r w:rsidR="006050C3" w:rsidRPr="00965C25">
        <w:rPr>
          <w:color w:val="auto"/>
        </w:rPr>
        <w:t>la estra</w:t>
      </w:r>
      <w:r w:rsidR="0023387C" w:rsidRPr="00965C25">
        <w:rPr>
          <w:color w:val="auto"/>
        </w:rPr>
        <w:t>tegia restrictiva</w:t>
      </w:r>
      <w:r w:rsidR="006050C3" w:rsidRPr="00965C25">
        <w:rPr>
          <w:color w:val="auto"/>
        </w:rPr>
        <w:t xml:space="preserve"> permite la transfusión ante concentraciones postoperatorias de hemoglobina &lt;8g/dL o si el paciente tuviera síntomas como precordialgia </w:t>
      </w:r>
      <w:r w:rsidR="009B20BE">
        <w:rPr>
          <w:color w:val="auto"/>
        </w:rPr>
        <w:t xml:space="preserve">de probable </w:t>
      </w:r>
      <w:r w:rsidR="006050C3" w:rsidRPr="00965C25">
        <w:rPr>
          <w:color w:val="auto"/>
        </w:rPr>
        <w:t>origen cardiaco, hipotensión ortostática o taquicardia que no responde a la reanima</w:t>
      </w:r>
      <w:r w:rsidR="00F93BBC">
        <w:rPr>
          <w:color w:val="auto"/>
        </w:rPr>
        <w:t>ción con líquidos, o</w:t>
      </w:r>
      <w:r w:rsidR="006050C3" w:rsidRPr="00965C25">
        <w:rPr>
          <w:color w:val="auto"/>
        </w:rPr>
        <w:t xml:space="preserve"> insuficiencia cardíaca congestiva. E</w:t>
      </w:r>
      <w:r w:rsidR="009B20BE">
        <w:rPr>
          <w:color w:val="auto"/>
        </w:rPr>
        <w:t>stos pacientes</w:t>
      </w:r>
      <w:r w:rsidR="006050C3" w:rsidRPr="00965C25">
        <w:rPr>
          <w:color w:val="auto"/>
        </w:rPr>
        <w:t xml:space="preserve"> no tuvieron peores resultados en términos de mortalidad a los 30 días o funcionalidad que los que recibieron transfusiones con un um</w:t>
      </w:r>
      <w:r w:rsidR="009B20BE">
        <w:rPr>
          <w:color w:val="auto"/>
        </w:rPr>
        <w:t>bral de hemoglobina de 10 g/dl</w:t>
      </w:r>
      <w:r w:rsidR="008C0A39">
        <w:rPr>
          <w:color w:val="auto"/>
        </w:rPr>
        <w:t>. E</w:t>
      </w:r>
      <w:r w:rsidR="00642B1F">
        <w:rPr>
          <w:color w:val="auto"/>
        </w:rPr>
        <w:t>stos resultados</w:t>
      </w:r>
      <w:r w:rsidR="008C0A39">
        <w:rPr>
          <w:color w:val="auto"/>
        </w:rPr>
        <w:t xml:space="preserve"> apoyan la idea que</w:t>
      </w:r>
      <w:r w:rsidR="0023387C" w:rsidRPr="00965C25">
        <w:rPr>
          <w:color w:val="auto"/>
        </w:rPr>
        <w:t xml:space="preserve"> la transfusión de</w:t>
      </w:r>
      <w:r w:rsidR="006050C3" w:rsidRPr="00965C25">
        <w:rPr>
          <w:color w:val="auto"/>
        </w:rPr>
        <w:t xml:space="preserve"> pacientes con concentraciones de hemoglob</w:t>
      </w:r>
      <w:r w:rsidR="0023387C" w:rsidRPr="00965C25">
        <w:rPr>
          <w:color w:val="auto"/>
        </w:rPr>
        <w:t>i</w:t>
      </w:r>
      <w:r w:rsidR="008C0A39">
        <w:rPr>
          <w:color w:val="auto"/>
        </w:rPr>
        <w:t>na ≥8</w:t>
      </w:r>
      <w:r w:rsidR="0023387C" w:rsidRPr="00965C25">
        <w:rPr>
          <w:color w:val="auto"/>
        </w:rPr>
        <w:t>g/dl debe guiarse por</w:t>
      </w:r>
      <w:r w:rsidR="006050C3" w:rsidRPr="00965C25">
        <w:rPr>
          <w:color w:val="auto"/>
        </w:rPr>
        <w:t xml:space="preserve"> síntomas y no por un umbral más elevado</w:t>
      </w:r>
      <w:r w:rsidR="006050C3" w:rsidRPr="00965C25">
        <w:rPr>
          <w:color w:val="auto"/>
          <w:vertAlign w:val="superscript"/>
        </w:rPr>
        <w:t>33</w:t>
      </w:r>
      <w:r w:rsidR="006050C3" w:rsidRPr="00965C25">
        <w:rPr>
          <w:color w:val="auto"/>
        </w:rPr>
        <w:t>.</w:t>
      </w:r>
    </w:p>
    <w:p w14:paraId="5F6DB97F" w14:textId="77777777" w:rsidR="006050C3" w:rsidRPr="00965C25" w:rsidRDefault="006050C3" w:rsidP="002E4EFB">
      <w:pPr>
        <w:pStyle w:val="Ttulo2"/>
        <w:spacing w:before="0" w:beforeAutospacing="0" w:after="0" w:afterAutospacing="0" w:line="480" w:lineRule="auto"/>
        <w:rPr>
          <w:color w:val="auto"/>
          <w:sz w:val="24"/>
          <w:szCs w:val="24"/>
        </w:rPr>
      </w:pPr>
      <w:bookmarkStart w:id="9" w:name="_Toc431407912"/>
      <w:r w:rsidRPr="00965C25">
        <w:rPr>
          <w:color w:val="auto"/>
          <w:sz w:val="24"/>
          <w:szCs w:val="24"/>
        </w:rPr>
        <w:t>Impacto de la anemia sobre los resultados en pacientes crític</w:t>
      </w:r>
      <w:bookmarkEnd w:id="9"/>
      <w:r w:rsidR="00D150FA">
        <w:rPr>
          <w:color w:val="auto"/>
          <w:sz w:val="24"/>
          <w:szCs w:val="24"/>
        </w:rPr>
        <w:t>os.</w:t>
      </w:r>
    </w:p>
    <w:p w14:paraId="0F7218DA" w14:textId="77777777" w:rsidR="006050C3" w:rsidRPr="00965C25" w:rsidRDefault="004E0B88" w:rsidP="002E4EFB">
      <w:pPr>
        <w:pStyle w:val="Ttulo3"/>
        <w:spacing w:before="0" w:line="480" w:lineRule="auto"/>
        <w:rPr>
          <w:rFonts w:ascii="Times New Roman" w:hAnsi="Times New Roman" w:cs="Times New Roman"/>
          <w:i/>
          <w:color w:val="auto"/>
        </w:rPr>
      </w:pPr>
      <w:bookmarkStart w:id="10" w:name="_Toc431407913"/>
      <w:r w:rsidRPr="00965C25">
        <w:rPr>
          <w:rFonts w:ascii="Times New Roman" w:hAnsi="Times New Roman" w:cs="Times New Roman"/>
          <w:i/>
          <w:color w:val="auto"/>
        </w:rPr>
        <w:t>E</w:t>
      </w:r>
      <w:r w:rsidR="006050C3" w:rsidRPr="00965C25">
        <w:rPr>
          <w:rFonts w:ascii="Times New Roman" w:hAnsi="Times New Roman" w:cs="Times New Roman"/>
          <w:i/>
          <w:color w:val="auto"/>
        </w:rPr>
        <w:t>nfermedad cardiaca</w:t>
      </w:r>
      <w:bookmarkEnd w:id="10"/>
    </w:p>
    <w:p w14:paraId="27302343" w14:textId="77777777" w:rsidR="006050C3" w:rsidRDefault="00F17123" w:rsidP="002E4EFB">
      <w:pPr>
        <w:spacing w:after="0" w:line="480" w:lineRule="auto"/>
        <w:jc w:val="both"/>
      </w:pPr>
      <w:r>
        <w:rPr>
          <w:szCs w:val="24"/>
        </w:rPr>
        <w:t>Los</w:t>
      </w:r>
      <w:r w:rsidR="006050C3">
        <w:rPr>
          <w:szCs w:val="24"/>
        </w:rPr>
        <w:t xml:space="preserve"> mecanismos de compensación incluyen aumento del volumen minuto cardiaco y de la descarga adrenérgica, disminución de la viscosidad, redistribución del flujo y aumento de la extracción de O2. El miocardio es el órgano más comprometido en la anemia aguda, ya que la taquicardia y el aumento </w:t>
      </w:r>
      <w:r w:rsidR="00944F3F">
        <w:rPr>
          <w:szCs w:val="24"/>
        </w:rPr>
        <w:t>de la contractilidad incrementan</w:t>
      </w:r>
      <w:r w:rsidR="006050C3">
        <w:rPr>
          <w:szCs w:val="24"/>
        </w:rPr>
        <w:t xml:space="preserve"> la demanda de O</w:t>
      </w:r>
      <w:r w:rsidR="00944F3F">
        <w:rPr>
          <w:szCs w:val="24"/>
        </w:rPr>
        <w:t xml:space="preserve">2 que debe </w:t>
      </w:r>
      <w:r w:rsidR="00B3392E">
        <w:rPr>
          <w:szCs w:val="24"/>
        </w:rPr>
        <w:t xml:space="preserve"> acompaña</w:t>
      </w:r>
      <w:r w:rsidR="00944F3F">
        <w:rPr>
          <w:szCs w:val="24"/>
        </w:rPr>
        <w:t>rse por</w:t>
      </w:r>
      <w:r w:rsidR="006050C3">
        <w:rPr>
          <w:szCs w:val="24"/>
        </w:rPr>
        <w:t xml:space="preserve"> aumento del flujo coronario. </w:t>
      </w:r>
      <w:r w:rsidR="00992E77">
        <w:rPr>
          <w:szCs w:val="24"/>
        </w:rPr>
        <w:t>En el  paciente con</w:t>
      </w:r>
      <w:r w:rsidR="006050C3">
        <w:rPr>
          <w:szCs w:val="24"/>
        </w:rPr>
        <w:t xml:space="preserve"> síndrome coronario agudo o insuficiencia cardiaca, el miocardio no puede tolerar niveles bajos de Hb</w:t>
      </w:r>
      <w:r w:rsidR="00CF584C">
        <w:rPr>
          <w:szCs w:val="24"/>
        </w:rPr>
        <w:t>,</w:t>
      </w:r>
      <w:r w:rsidR="006050C3">
        <w:rPr>
          <w:szCs w:val="24"/>
        </w:rPr>
        <w:t xml:space="preserve"> </w:t>
      </w:r>
      <w:r w:rsidR="001B45AD">
        <w:rPr>
          <w:szCs w:val="24"/>
        </w:rPr>
        <w:t>pudiendo</w:t>
      </w:r>
      <w:r w:rsidR="006050C3">
        <w:rPr>
          <w:szCs w:val="24"/>
        </w:rPr>
        <w:t xml:space="preserve"> </w:t>
      </w:r>
      <w:r w:rsidR="001B45AD">
        <w:rPr>
          <w:szCs w:val="24"/>
        </w:rPr>
        <w:t xml:space="preserve">empeorar </w:t>
      </w:r>
      <w:r w:rsidR="001B45AD">
        <w:rPr>
          <w:szCs w:val="24"/>
        </w:rPr>
        <w:lastRenderedPageBreak/>
        <w:t xml:space="preserve">la </w:t>
      </w:r>
      <w:r w:rsidR="001B6F12">
        <w:rPr>
          <w:szCs w:val="24"/>
        </w:rPr>
        <w:t>isquemia, generar arritmias</w:t>
      </w:r>
      <w:r w:rsidR="006050C3">
        <w:rPr>
          <w:szCs w:val="24"/>
        </w:rPr>
        <w:t>, incrementando la morbimortalidad</w:t>
      </w:r>
      <w:r w:rsidR="006050C3">
        <w:rPr>
          <w:szCs w:val="24"/>
          <w:vertAlign w:val="superscript"/>
        </w:rPr>
        <w:t>34</w:t>
      </w:r>
      <w:r w:rsidR="006050C3">
        <w:rPr>
          <w:szCs w:val="24"/>
        </w:rPr>
        <w:t>.</w:t>
      </w:r>
      <w:r w:rsidR="006050C3">
        <w:rPr>
          <w:szCs w:val="24"/>
          <w:vertAlign w:val="superscript"/>
        </w:rPr>
        <w:t xml:space="preserve"> </w:t>
      </w:r>
      <w:r w:rsidR="00D12738">
        <w:t>E</w:t>
      </w:r>
      <w:r w:rsidR="006050C3">
        <w:t xml:space="preserve">l estudio TRICC, en pacientes </w:t>
      </w:r>
      <w:r w:rsidR="001B45AD">
        <w:t>con</w:t>
      </w:r>
      <w:r w:rsidR="006050C3">
        <w:t xml:space="preserve"> cardiopatía isquémica aguda (infarto agudo de miocardio o angina inestable) </w:t>
      </w:r>
      <w:r w:rsidR="00FC671D">
        <w:t>demostró que</w:t>
      </w:r>
      <w:r w:rsidR="006050C3">
        <w:t xml:space="preserve"> la estrateg</w:t>
      </w:r>
      <w:r w:rsidR="000905A8">
        <w:t>ia restrictiva</w:t>
      </w:r>
      <w:r w:rsidR="001B6F12">
        <w:t xml:space="preserve"> </w:t>
      </w:r>
      <w:r w:rsidR="000905A8">
        <w:t xml:space="preserve">no solo </w:t>
      </w:r>
      <w:r w:rsidR="001B6F12">
        <w:t>era</w:t>
      </w:r>
      <w:r w:rsidR="00912586">
        <w:t xml:space="preserve"> perjudicial</w:t>
      </w:r>
      <w:r w:rsidR="001B6F12">
        <w:t xml:space="preserve">, </w:t>
      </w:r>
      <w:r w:rsidR="000905A8">
        <w:t xml:space="preserve">sino que </w:t>
      </w:r>
      <w:r w:rsidR="00B3392E">
        <w:t>se</w:t>
      </w:r>
      <w:r w:rsidR="001B6F12">
        <w:t xml:space="preserve"> beneficiaban</w:t>
      </w:r>
      <w:r w:rsidR="000905A8">
        <w:t xml:space="preserve"> con </w:t>
      </w:r>
      <w:r w:rsidR="006050C3">
        <w:t>estrategia lib</w:t>
      </w:r>
      <w:r w:rsidR="005C0611">
        <w:t>eral. Numerosos estudios demostraron</w:t>
      </w:r>
      <w:r w:rsidR="00992E77">
        <w:t xml:space="preserve"> que la anemia</w:t>
      </w:r>
      <w:r w:rsidR="006050C3">
        <w:t xml:space="preserve"> está asociada con peores resultados en paciente</w:t>
      </w:r>
      <w:r w:rsidR="005C0611">
        <w:t>s coronario</w:t>
      </w:r>
      <w:r w:rsidR="006050C3">
        <w:t>s. Sobre la información de las indicaciones para la transfusión de GR en anemia leve a moderada (Hto &gt;25% o Hb &gt;8 g/dl) puede asocia</w:t>
      </w:r>
      <w:r w:rsidR="00FC671D">
        <w:t xml:space="preserve">rse a </w:t>
      </w:r>
      <w:r w:rsidR="006050C3">
        <w:t>mayor riesgo de muerte a los 30 días y debe ser evitad</w:t>
      </w:r>
      <w:r w:rsidR="00FC671D">
        <w:t>a</w:t>
      </w:r>
      <w:r w:rsidR="00992E77">
        <w:t xml:space="preserve"> si la anemia es bien tolerada;</w:t>
      </w:r>
      <w:r w:rsidR="006050C3">
        <w:t xml:space="preserve"> debajo de estos niveles la transfusión de sangre debe ser recomendada en complicaciones hemorrágicas</w:t>
      </w:r>
      <w:r w:rsidR="006050C3">
        <w:rPr>
          <w:vertAlign w:val="superscript"/>
        </w:rPr>
        <w:t>35</w:t>
      </w:r>
      <w:r w:rsidR="006050C3">
        <w:t xml:space="preserve">. </w:t>
      </w:r>
    </w:p>
    <w:p w14:paraId="7CC5806D" w14:textId="77777777" w:rsidR="006050C3" w:rsidRPr="00CD3DD8" w:rsidRDefault="006050C3" w:rsidP="002E4EFB">
      <w:pPr>
        <w:pStyle w:val="Ttulo3"/>
        <w:spacing w:before="0" w:line="480" w:lineRule="auto"/>
        <w:rPr>
          <w:rFonts w:ascii="Times New Roman" w:hAnsi="Times New Roman" w:cs="Times New Roman"/>
          <w:i/>
          <w:color w:val="auto"/>
        </w:rPr>
      </w:pPr>
      <w:bookmarkStart w:id="11" w:name="_Toc431407914"/>
      <w:r w:rsidRPr="00CD3DD8">
        <w:rPr>
          <w:rFonts w:ascii="Times New Roman" w:hAnsi="Times New Roman" w:cs="Times New Roman"/>
          <w:i/>
          <w:color w:val="auto"/>
        </w:rPr>
        <w:t>Ventilación mecánica – Destete</w:t>
      </w:r>
      <w:bookmarkEnd w:id="11"/>
      <w:r w:rsidRPr="00CD3DD8">
        <w:rPr>
          <w:rFonts w:ascii="Times New Roman" w:hAnsi="Times New Roman" w:cs="Times New Roman"/>
          <w:i/>
          <w:color w:val="auto"/>
        </w:rPr>
        <w:t xml:space="preserve"> </w:t>
      </w:r>
    </w:p>
    <w:p w14:paraId="3FDCD38D" w14:textId="77777777" w:rsidR="006050C3" w:rsidRPr="003F61F1" w:rsidRDefault="006050C3" w:rsidP="002E4EFB">
      <w:pPr>
        <w:spacing w:after="0" w:line="480" w:lineRule="auto"/>
        <w:jc w:val="both"/>
        <w:rPr>
          <w:bCs/>
          <w:szCs w:val="24"/>
        </w:rPr>
      </w:pPr>
      <w:r>
        <w:rPr>
          <w:bCs/>
          <w:szCs w:val="24"/>
        </w:rPr>
        <w:t>No hay estudios que definan un nivel de Hb óptimo para</w:t>
      </w:r>
      <w:r w:rsidR="00912586">
        <w:rPr>
          <w:bCs/>
          <w:szCs w:val="24"/>
        </w:rPr>
        <w:t xml:space="preserve"> los pacientes en destete de </w:t>
      </w:r>
      <w:r>
        <w:rPr>
          <w:bCs/>
          <w:szCs w:val="24"/>
        </w:rPr>
        <w:t>ventilación mecánica (VM).  En el estudio TRICC</w:t>
      </w:r>
      <w:r>
        <w:rPr>
          <w:bCs/>
          <w:szCs w:val="24"/>
          <w:vertAlign w:val="superscript"/>
        </w:rPr>
        <w:t>30</w:t>
      </w:r>
      <w:r>
        <w:rPr>
          <w:bCs/>
          <w:szCs w:val="24"/>
        </w:rPr>
        <w:t xml:space="preserve"> en el subgrupo que requirió VM no se hallaron diferencias significativas con respeto a la duración de esta ni al tiempo de extubación para ambos grupos, restrictivo o liberal.  En pacientes con enferm</w:t>
      </w:r>
      <w:r w:rsidR="00912586">
        <w:rPr>
          <w:bCs/>
          <w:szCs w:val="24"/>
        </w:rPr>
        <w:t>edad obstructiva crónica (EPOC)</w:t>
      </w:r>
      <w:r>
        <w:rPr>
          <w:bCs/>
          <w:szCs w:val="24"/>
        </w:rPr>
        <w:t xml:space="preserve"> con destete dificultoso una Hb de 12 g/dl fue favorable para el destete</w:t>
      </w:r>
      <w:r>
        <w:rPr>
          <w:bCs/>
          <w:szCs w:val="24"/>
          <w:vertAlign w:val="superscript"/>
        </w:rPr>
        <w:t>29</w:t>
      </w:r>
      <w:r>
        <w:rPr>
          <w:bCs/>
          <w:szCs w:val="24"/>
        </w:rPr>
        <w:t>. J. Nevins y Epstein en un estud</w:t>
      </w:r>
      <w:r w:rsidR="001B45AD">
        <w:rPr>
          <w:bCs/>
          <w:szCs w:val="24"/>
        </w:rPr>
        <w:t>io retrospectivo</w:t>
      </w:r>
      <w:r w:rsidR="00F13246">
        <w:rPr>
          <w:bCs/>
          <w:szCs w:val="24"/>
        </w:rPr>
        <w:t>:</w:t>
      </w:r>
      <w:r>
        <w:rPr>
          <w:bCs/>
          <w:szCs w:val="24"/>
        </w:rPr>
        <w:t xml:space="preserve"> EPOC con </w:t>
      </w:r>
      <w:r w:rsidR="001B45AD">
        <w:rPr>
          <w:bCs/>
          <w:szCs w:val="24"/>
        </w:rPr>
        <w:t>anemia (Hematocrito ≤ 36 %</w:t>
      </w:r>
      <w:r>
        <w:rPr>
          <w:bCs/>
          <w:szCs w:val="24"/>
        </w:rPr>
        <w:t>) se asoci</w:t>
      </w:r>
      <w:r w:rsidR="001B45AD">
        <w:rPr>
          <w:bCs/>
          <w:szCs w:val="24"/>
        </w:rPr>
        <w:t>o</w:t>
      </w:r>
      <w:r w:rsidR="00992E77">
        <w:rPr>
          <w:bCs/>
          <w:szCs w:val="24"/>
        </w:rPr>
        <w:t xml:space="preserve"> a una mala evolución si</w:t>
      </w:r>
      <w:r>
        <w:rPr>
          <w:bCs/>
          <w:szCs w:val="24"/>
        </w:rPr>
        <w:t xml:space="preserve"> </w:t>
      </w:r>
      <w:r w:rsidR="00992E77">
        <w:rPr>
          <w:bCs/>
          <w:szCs w:val="24"/>
        </w:rPr>
        <w:t>requerían</w:t>
      </w:r>
      <w:r>
        <w:rPr>
          <w:bCs/>
          <w:szCs w:val="24"/>
        </w:rPr>
        <w:t xml:space="preserve"> VM</w:t>
      </w:r>
      <w:r>
        <w:rPr>
          <w:bCs/>
          <w:szCs w:val="24"/>
          <w:vertAlign w:val="superscript"/>
        </w:rPr>
        <w:t>36</w:t>
      </w:r>
      <w:r>
        <w:rPr>
          <w:bCs/>
          <w:szCs w:val="24"/>
        </w:rPr>
        <w:t>.</w:t>
      </w:r>
      <w:r w:rsidR="003F61F1">
        <w:rPr>
          <w:bCs/>
          <w:szCs w:val="24"/>
        </w:rPr>
        <w:t xml:space="preserve"> </w:t>
      </w:r>
      <w:r>
        <w:t>A</w:t>
      </w:r>
      <w:r w:rsidR="00F13246">
        <w:t>ctualmente,</w:t>
      </w:r>
      <w:r>
        <w:t xml:space="preserve"> hay literatura significativa que apoya la transfusión de  GR  para facilitar el destete</w:t>
      </w:r>
      <w:r>
        <w:rPr>
          <w:vertAlign w:val="superscript"/>
        </w:rPr>
        <w:t>37</w:t>
      </w:r>
      <w:r>
        <w:t>.</w:t>
      </w:r>
    </w:p>
    <w:p w14:paraId="15ACAF1A" w14:textId="77777777" w:rsidR="006050C3" w:rsidRPr="00CD3DD8" w:rsidRDefault="006050C3" w:rsidP="002E4EFB">
      <w:pPr>
        <w:pStyle w:val="Ttulo3"/>
        <w:spacing w:before="0" w:line="480" w:lineRule="auto"/>
        <w:rPr>
          <w:rFonts w:ascii="Times New Roman" w:hAnsi="Times New Roman" w:cs="Times New Roman"/>
          <w:i/>
          <w:color w:val="auto"/>
          <w:szCs w:val="24"/>
        </w:rPr>
      </w:pPr>
      <w:bookmarkStart w:id="12" w:name="_Toc431407915"/>
      <w:r w:rsidRPr="00CD3DD8">
        <w:rPr>
          <w:rFonts w:ascii="Times New Roman" w:hAnsi="Times New Roman" w:cs="Times New Roman"/>
          <w:i/>
          <w:color w:val="auto"/>
          <w:szCs w:val="24"/>
        </w:rPr>
        <w:t>Sepsis y shock séptico</w:t>
      </w:r>
      <w:bookmarkEnd w:id="12"/>
    </w:p>
    <w:p w14:paraId="1CC63AFC" w14:textId="77777777" w:rsidR="0051705B" w:rsidRDefault="00307ED2" w:rsidP="002E4EFB">
      <w:pPr>
        <w:spacing w:after="0" w:line="480" w:lineRule="auto"/>
        <w:jc w:val="both"/>
        <w:rPr>
          <w:rStyle w:val="apple-converted-space"/>
          <w:szCs w:val="24"/>
          <w:shd w:val="clear" w:color="auto" w:fill="FFFFFF"/>
        </w:rPr>
      </w:pPr>
      <w:r>
        <w:rPr>
          <w:bCs/>
          <w:szCs w:val="24"/>
        </w:rPr>
        <w:t>En el</w:t>
      </w:r>
      <w:r w:rsidR="006050C3">
        <w:rPr>
          <w:bCs/>
          <w:szCs w:val="24"/>
        </w:rPr>
        <w:t xml:space="preserve"> estudio TRICC</w:t>
      </w:r>
      <w:r w:rsidR="006050C3">
        <w:rPr>
          <w:bCs/>
          <w:szCs w:val="24"/>
          <w:vertAlign w:val="superscript"/>
        </w:rPr>
        <w:t xml:space="preserve">30 </w:t>
      </w:r>
      <w:r>
        <w:rPr>
          <w:bCs/>
          <w:szCs w:val="24"/>
        </w:rPr>
        <w:t xml:space="preserve"> para este subgrupo, </w:t>
      </w:r>
      <w:r w:rsidR="006050C3">
        <w:rPr>
          <w:bCs/>
          <w:szCs w:val="24"/>
        </w:rPr>
        <w:t>la estrategia restrictiva fue equivale</w:t>
      </w:r>
      <w:r w:rsidR="002B683A">
        <w:rPr>
          <w:bCs/>
          <w:szCs w:val="24"/>
        </w:rPr>
        <w:t>nte a la liberal (22,8% vs</w:t>
      </w:r>
      <w:r w:rsidR="006050C3">
        <w:rPr>
          <w:bCs/>
          <w:szCs w:val="24"/>
        </w:rPr>
        <w:t xml:space="preserve"> 29,7%, respectivamente)</w:t>
      </w:r>
      <w:r>
        <w:rPr>
          <w:bCs/>
          <w:szCs w:val="24"/>
        </w:rPr>
        <w:t>.</w:t>
      </w:r>
      <w:r w:rsidR="006050C3">
        <w:rPr>
          <w:bCs/>
          <w:szCs w:val="24"/>
        </w:rPr>
        <w:t xml:space="preserve"> </w:t>
      </w:r>
      <w:r w:rsidR="006050C3">
        <w:rPr>
          <w:szCs w:val="24"/>
          <w:shd w:val="clear" w:color="auto" w:fill="FFFFFF"/>
        </w:rPr>
        <w:t>El estudio de Terapia Temprana Dirigida por M</w:t>
      </w:r>
      <w:r w:rsidR="006050C3" w:rsidRPr="009B4880">
        <w:rPr>
          <w:szCs w:val="24"/>
          <w:shd w:val="clear" w:color="auto" w:fill="FFFFFF"/>
        </w:rPr>
        <w:t>etas</w:t>
      </w:r>
      <w:r w:rsidR="006050C3">
        <w:rPr>
          <w:szCs w:val="24"/>
          <w:shd w:val="clear" w:color="auto" w:fill="FFFFFF"/>
          <w:vertAlign w:val="superscript"/>
        </w:rPr>
        <w:t>38</w:t>
      </w:r>
      <w:r w:rsidR="006050C3" w:rsidRPr="009B4880">
        <w:rPr>
          <w:szCs w:val="24"/>
          <w:shd w:val="clear" w:color="auto" w:fill="FFFFFF"/>
        </w:rPr>
        <w:t xml:space="preserve"> (EGDT</w:t>
      </w:r>
      <w:r w:rsidR="006050C3" w:rsidRPr="009B4880">
        <w:rPr>
          <w:color w:val="222222"/>
          <w:szCs w:val="24"/>
          <w:shd w:val="clear" w:color="auto" w:fill="FFFFFF"/>
        </w:rPr>
        <w:t xml:space="preserve"> early goal-directed therapy</w:t>
      </w:r>
      <w:r w:rsidR="006050C3" w:rsidRPr="009B4880">
        <w:rPr>
          <w:szCs w:val="24"/>
          <w:shd w:val="clear" w:color="auto" w:fill="FFFFFF"/>
        </w:rPr>
        <w:t xml:space="preserve">) </w:t>
      </w:r>
      <w:r w:rsidR="00A81C20">
        <w:rPr>
          <w:szCs w:val="24"/>
          <w:shd w:val="clear" w:color="auto" w:fill="FFFFFF"/>
        </w:rPr>
        <w:t>con un</w:t>
      </w:r>
      <w:r w:rsidR="006050C3" w:rsidRPr="009B4880">
        <w:rPr>
          <w:szCs w:val="24"/>
          <w:shd w:val="clear" w:color="auto" w:fill="FFFFFF"/>
        </w:rPr>
        <w:t xml:space="preserve"> solo centro</w:t>
      </w:r>
      <w:r w:rsidR="00A81C20">
        <w:rPr>
          <w:szCs w:val="24"/>
          <w:shd w:val="clear" w:color="auto" w:fill="FFFFFF"/>
        </w:rPr>
        <w:t xml:space="preserve">, </w:t>
      </w:r>
      <w:r w:rsidR="006050C3" w:rsidRPr="009B4880">
        <w:rPr>
          <w:szCs w:val="24"/>
          <w:shd w:val="clear" w:color="auto" w:fill="FFFFFF"/>
        </w:rPr>
        <w:t>estudio controlado aleatorizado, en pacientes con sepsis grave y shock séptico</w:t>
      </w:r>
      <w:r w:rsidR="006050C3">
        <w:rPr>
          <w:szCs w:val="24"/>
          <w:shd w:val="clear" w:color="auto" w:fill="FFFFFF"/>
        </w:rPr>
        <w:t>, l</w:t>
      </w:r>
      <w:r w:rsidR="006050C3" w:rsidRPr="009B4880">
        <w:rPr>
          <w:szCs w:val="24"/>
          <w:shd w:val="clear" w:color="auto" w:fill="FFFFFF"/>
        </w:rPr>
        <w:t xml:space="preserve">a transfusión </w:t>
      </w:r>
      <w:r w:rsidR="006050C3">
        <w:rPr>
          <w:szCs w:val="24"/>
          <w:shd w:val="clear" w:color="auto" w:fill="FFFFFF"/>
        </w:rPr>
        <w:t xml:space="preserve">llevando </w:t>
      </w:r>
      <w:r w:rsidR="00A81C20">
        <w:rPr>
          <w:szCs w:val="24"/>
          <w:shd w:val="clear" w:color="auto" w:fill="FFFFFF"/>
        </w:rPr>
        <w:t>el hematocrito a</w:t>
      </w:r>
      <w:r w:rsidR="006050C3" w:rsidRPr="009B4880">
        <w:rPr>
          <w:szCs w:val="24"/>
          <w:shd w:val="clear" w:color="auto" w:fill="FFFFFF"/>
        </w:rPr>
        <w:t xml:space="preserve"> 30% fue una de las </w:t>
      </w:r>
      <w:r w:rsidR="00A81C20">
        <w:rPr>
          <w:szCs w:val="24"/>
          <w:shd w:val="clear" w:color="auto" w:fill="FFFFFF"/>
        </w:rPr>
        <w:t xml:space="preserve">intervenciones utilizadas </w:t>
      </w:r>
      <w:r w:rsidR="00E77B3A">
        <w:rPr>
          <w:szCs w:val="24"/>
          <w:shd w:val="clear" w:color="auto" w:fill="FFFFFF"/>
        </w:rPr>
        <w:t>para elevar</w:t>
      </w:r>
      <w:r w:rsidR="006050C3" w:rsidRPr="009B4880">
        <w:rPr>
          <w:szCs w:val="24"/>
          <w:shd w:val="clear" w:color="auto" w:fill="FFFFFF"/>
        </w:rPr>
        <w:t xml:space="preserve"> la saturación de la oxigenación venosa central (ScvO</w:t>
      </w:r>
      <w:r w:rsidR="006050C3" w:rsidRPr="009B4880">
        <w:rPr>
          <w:rStyle w:val="apple-converted-space"/>
          <w:szCs w:val="24"/>
          <w:shd w:val="clear" w:color="auto" w:fill="FFFFFF"/>
        </w:rPr>
        <w:t>2)</w:t>
      </w:r>
      <w:r w:rsidR="006050C3">
        <w:rPr>
          <w:rStyle w:val="apple-converted-space"/>
          <w:szCs w:val="24"/>
          <w:shd w:val="clear" w:color="auto" w:fill="FFFFFF"/>
        </w:rPr>
        <w:t xml:space="preserve"> &gt;70%</w:t>
      </w:r>
      <w:r w:rsidR="006050C3" w:rsidRPr="009B4880">
        <w:rPr>
          <w:szCs w:val="24"/>
          <w:shd w:val="clear" w:color="auto" w:fill="FFFFFF"/>
          <w:vertAlign w:val="subscript"/>
        </w:rPr>
        <w:t>.</w:t>
      </w:r>
      <w:r w:rsidR="006050C3" w:rsidRPr="009B4880">
        <w:rPr>
          <w:szCs w:val="24"/>
          <w:shd w:val="clear" w:color="auto" w:fill="FFFFFF"/>
        </w:rPr>
        <w:t xml:space="preserve"> </w:t>
      </w:r>
      <w:r w:rsidR="002B683A">
        <w:rPr>
          <w:szCs w:val="24"/>
          <w:shd w:val="clear" w:color="auto" w:fill="FFFFFF"/>
        </w:rPr>
        <w:t xml:space="preserve">La </w:t>
      </w:r>
      <w:r w:rsidR="006050C3" w:rsidRPr="009B4880">
        <w:rPr>
          <w:szCs w:val="24"/>
          <w:shd w:val="clear" w:color="auto" w:fill="FFFFFF"/>
        </w:rPr>
        <w:t>ScvO</w:t>
      </w:r>
      <w:r w:rsidR="006050C3" w:rsidRPr="009B4880">
        <w:rPr>
          <w:rStyle w:val="apple-converted-space"/>
          <w:szCs w:val="24"/>
          <w:shd w:val="clear" w:color="auto" w:fill="FFFFFF"/>
        </w:rPr>
        <w:t>2 </w:t>
      </w:r>
      <w:r w:rsidR="006050C3" w:rsidRPr="009B4880">
        <w:rPr>
          <w:szCs w:val="24"/>
          <w:shd w:val="clear" w:color="auto" w:fill="FFFFFF"/>
        </w:rPr>
        <w:t>es un índice del equilibrio entre la o</w:t>
      </w:r>
      <w:r w:rsidR="00E77B3A">
        <w:rPr>
          <w:szCs w:val="24"/>
          <w:shd w:val="clear" w:color="auto" w:fill="FFFFFF"/>
        </w:rPr>
        <w:t>ferta y el consumo de oxígeno; su</w:t>
      </w:r>
      <w:r w:rsidR="006050C3" w:rsidRPr="009B4880">
        <w:rPr>
          <w:szCs w:val="24"/>
          <w:shd w:val="clear" w:color="auto" w:fill="FFFFFF"/>
        </w:rPr>
        <w:t xml:space="preserve"> disminución </w:t>
      </w:r>
      <w:r w:rsidR="00E77B3A">
        <w:rPr>
          <w:szCs w:val="24"/>
          <w:shd w:val="clear" w:color="auto" w:fill="FFFFFF"/>
        </w:rPr>
        <w:t>indica</w:t>
      </w:r>
      <w:r w:rsidR="006050C3" w:rsidRPr="009B4880">
        <w:rPr>
          <w:szCs w:val="24"/>
          <w:shd w:val="clear" w:color="auto" w:fill="FFFFFF"/>
        </w:rPr>
        <w:t xml:space="preserve"> deficien</w:t>
      </w:r>
      <w:r w:rsidR="00E77B3A">
        <w:rPr>
          <w:szCs w:val="24"/>
          <w:shd w:val="clear" w:color="auto" w:fill="FFFFFF"/>
        </w:rPr>
        <w:t>cia de suministro de oxígeno</w:t>
      </w:r>
      <w:r w:rsidR="006050C3" w:rsidRPr="009B4880">
        <w:rPr>
          <w:szCs w:val="24"/>
          <w:shd w:val="clear" w:color="auto" w:fill="FFFFFF"/>
        </w:rPr>
        <w:t xml:space="preserve"> respecto a la demanda.</w:t>
      </w:r>
      <w:r w:rsidR="006050C3" w:rsidRPr="009B4880">
        <w:rPr>
          <w:rStyle w:val="apple-converted-space"/>
          <w:szCs w:val="24"/>
          <w:shd w:val="clear" w:color="auto" w:fill="FFFFFF"/>
        </w:rPr>
        <w:t> </w:t>
      </w:r>
      <w:r w:rsidR="00ED53F7">
        <w:rPr>
          <w:rStyle w:val="apple-converted-space"/>
          <w:szCs w:val="24"/>
          <w:shd w:val="clear" w:color="auto" w:fill="FFFFFF"/>
        </w:rPr>
        <w:t xml:space="preserve">Esta terapia </w:t>
      </w:r>
      <w:r w:rsidR="00ED53F7" w:rsidRPr="002C5F8B">
        <w:rPr>
          <w:szCs w:val="24"/>
        </w:rPr>
        <w:t>forma parte de la terapia dirigida por objetivos (Rivers et al):</w:t>
      </w:r>
      <w:r w:rsidR="004C2B44">
        <w:rPr>
          <w:szCs w:val="24"/>
        </w:rPr>
        <w:t xml:space="preserve"> presión venosa central [PVC] 8</w:t>
      </w:r>
      <w:r w:rsidR="00072342">
        <w:rPr>
          <w:szCs w:val="24"/>
        </w:rPr>
        <w:t>-</w:t>
      </w:r>
      <w:r w:rsidR="00072342">
        <w:rPr>
          <w:szCs w:val="24"/>
        </w:rPr>
        <w:lastRenderedPageBreak/>
        <w:t xml:space="preserve">12 </w:t>
      </w:r>
      <w:r w:rsidR="00ED53F7" w:rsidRPr="002C5F8B">
        <w:rPr>
          <w:szCs w:val="24"/>
        </w:rPr>
        <w:t>mmHg, tensión arterial media [TAM] &gt;65 mmHg, saturación venosa de oxigeno [SvO</w:t>
      </w:r>
      <w:r w:rsidR="00E77B3A">
        <w:rPr>
          <w:szCs w:val="24"/>
        </w:rPr>
        <w:t>2] &gt;</w:t>
      </w:r>
      <w:r w:rsidR="004C2B44">
        <w:rPr>
          <w:szCs w:val="24"/>
        </w:rPr>
        <w:t>70%, Hb 10</w:t>
      </w:r>
      <w:r w:rsidR="00E77B3A">
        <w:rPr>
          <w:szCs w:val="24"/>
        </w:rPr>
        <w:t>g/</w:t>
      </w:r>
      <w:r w:rsidR="00ED53F7" w:rsidRPr="002C5F8B">
        <w:rPr>
          <w:szCs w:val="24"/>
        </w:rPr>
        <w:t>dl si la SvO</w:t>
      </w:r>
      <w:r w:rsidR="00E77B3A">
        <w:rPr>
          <w:szCs w:val="24"/>
        </w:rPr>
        <w:t>2</w:t>
      </w:r>
      <w:r w:rsidR="00ED53F7" w:rsidRPr="002C5F8B">
        <w:rPr>
          <w:szCs w:val="24"/>
        </w:rPr>
        <w:t>&lt;70% luego de la reanimación con volumen y dobutamina</w:t>
      </w:r>
      <w:r w:rsidR="00ED53F7">
        <w:rPr>
          <w:szCs w:val="24"/>
          <w:shd w:val="clear" w:color="auto" w:fill="FFFFFF"/>
        </w:rPr>
        <w:t>. E</w:t>
      </w:r>
      <w:r>
        <w:rPr>
          <w:szCs w:val="24"/>
          <w:shd w:val="clear" w:color="auto" w:fill="FFFFFF"/>
        </w:rPr>
        <w:t>ste ensayo</w:t>
      </w:r>
      <w:r w:rsidR="006050C3">
        <w:rPr>
          <w:szCs w:val="24"/>
          <w:shd w:val="clear" w:color="auto" w:fill="FFFFFF"/>
        </w:rPr>
        <w:t xml:space="preserve"> </w:t>
      </w:r>
      <w:r w:rsidR="00E77B3A">
        <w:rPr>
          <w:szCs w:val="24"/>
          <w:shd w:val="clear" w:color="auto" w:fill="FFFFFF"/>
        </w:rPr>
        <w:t>demostró</w:t>
      </w:r>
      <w:r w:rsidR="00E4544F" w:rsidRPr="009B4880">
        <w:rPr>
          <w:szCs w:val="24"/>
          <w:shd w:val="clear" w:color="auto" w:fill="FFFFFF"/>
        </w:rPr>
        <w:t xml:space="preserve"> </w:t>
      </w:r>
      <w:r w:rsidR="006050C3" w:rsidRPr="009B4880">
        <w:rPr>
          <w:szCs w:val="24"/>
          <w:shd w:val="clear" w:color="auto" w:fill="FFFFFF"/>
        </w:rPr>
        <w:t xml:space="preserve">beneficio fisiológico </w:t>
      </w:r>
      <w:r w:rsidR="00E77B3A">
        <w:rPr>
          <w:szCs w:val="24"/>
          <w:shd w:val="clear" w:color="auto" w:fill="FFFFFF"/>
        </w:rPr>
        <w:t xml:space="preserve">en estrategia liberal </w:t>
      </w:r>
      <w:r w:rsidR="006050C3" w:rsidRPr="009B4880">
        <w:rPr>
          <w:szCs w:val="24"/>
          <w:shd w:val="clear" w:color="auto" w:fill="FFFFFF"/>
        </w:rPr>
        <w:t>(aumento de ScvO</w:t>
      </w:r>
      <w:r w:rsidR="006050C3" w:rsidRPr="009B4880">
        <w:rPr>
          <w:rStyle w:val="apple-converted-space"/>
          <w:szCs w:val="24"/>
          <w:shd w:val="clear" w:color="auto" w:fill="FFFFFF"/>
        </w:rPr>
        <w:t>2  </w:t>
      </w:r>
      <w:r w:rsidR="00842DA2">
        <w:rPr>
          <w:szCs w:val="24"/>
          <w:shd w:val="clear" w:color="auto" w:fill="FFFFFF"/>
        </w:rPr>
        <w:t>y</w:t>
      </w:r>
      <w:r w:rsidR="006050C3" w:rsidRPr="009B4880">
        <w:rPr>
          <w:szCs w:val="24"/>
          <w:shd w:val="clear" w:color="auto" w:fill="FFFFFF"/>
        </w:rPr>
        <w:t xml:space="preserve"> lactato más bajo</w:t>
      </w:r>
      <w:r w:rsidR="006050C3">
        <w:rPr>
          <w:szCs w:val="24"/>
          <w:shd w:val="clear" w:color="auto" w:fill="FFFFFF"/>
        </w:rPr>
        <w:t xml:space="preserve">), </w:t>
      </w:r>
      <w:r w:rsidR="00842DA2">
        <w:rPr>
          <w:szCs w:val="24"/>
          <w:shd w:val="clear" w:color="auto" w:fill="FFFFFF"/>
        </w:rPr>
        <w:t>con</w:t>
      </w:r>
      <w:r w:rsidR="006050C3" w:rsidRPr="009B4880">
        <w:rPr>
          <w:szCs w:val="24"/>
          <w:shd w:val="clear" w:color="auto" w:fill="FFFFFF"/>
        </w:rPr>
        <w:t xml:space="preserve"> reducción de la mortalidad</w:t>
      </w:r>
      <w:r w:rsidR="00E4544F" w:rsidRPr="002C5F8B">
        <w:rPr>
          <w:szCs w:val="24"/>
        </w:rPr>
        <w:t xml:space="preserve"> global, pero no discrimino cual variable fue la más eficaz</w:t>
      </w:r>
      <w:r w:rsidR="00BA550D">
        <w:rPr>
          <w:szCs w:val="24"/>
        </w:rPr>
        <w:t>.</w:t>
      </w:r>
    </w:p>
    <w:p w14:paraId="7BD19469" w14:textId="77777777" w:rsidR="006971C7" w:rsidRDefault="00BA550D" w:rsidP="002E4EFB">
      <w:pPr>
        <w:spacing w:after="0" w:line="480" w:lineRule="auto"/>
        <w:jc w:val="both"/>
        <w:rPr>
          <w:szCs w:val="24"/>
          <w:shd w:val="clear" w:color="auto" w:fill="FFFFFF"/>
        </w:rPr>
      </w:pPr>
      <w:r>
        <w:rPr>
          <w:szCs w:val="24"/>
          <w:shd w:val="clear" w:color="auto" w:fill="FFFFFF"/>
        </w:rPr>
        <w:t xml:space="preserve">Por el contrario, </w:t>
      </w:r>
      <w:r w:rsidR="006050C3" w:rsidRPr="009B4880">
        <w:rPr>
          <w:szCs w:val="24"/>
          <w:shd w:val="clear" w:color="auto" w:fill="FFFFFF"/>
        </w:rPr>
        <w:t>dos es</w:t>
      </w:r>
      <w:r>
        <w:rPr>
          <w:szCs w:val="24"/>
          <w:shd w:val="clear" w:color="auto" w:fill="FFFFFF"/>
        </w:rPr>
        <w:t>tudios, controlado</w:t>
      </w:r>
      <w:r w:rsidR="006050C3" w:rsidRPr="009B4880">
        <w:rPr>
          <w:szCs w:val="24"/>
          <w:shd w:val="clear" w:color="auto" w:fill="FFFFFF"/>
        </w:rPr>
        <w:t xml:space="preserve"> aleatorizado multicentrico</w:t>
      </w:r>
      <w:r w:rsidR="00ED53F7">
        <w:rPr>
          <w:szCs w:val="24"/>
          <w:shd w:val="clear" w:color="auto" w:fill="FFFFFF"/>
        </w:rPr>
        <w:t xml:space="preserve"> de</w:t>
      </w:r>
      <w:r w:rsidR="006050C3" w:rsidRPr="009B4880">
        <w:rPr>
          <w:szCs w:val="24"/>
          <w:shd w:val="clear" w:color="auto" w:fill="FFFFFF"/>
        </w:rPr>
        <w:t xml:space="preserve"> </w:t>
      </w:r>
      <w:r w:rsidR="006050C3">
        <w:rPr>
          <w:szCs w:val="24"/>
          <w:shd w:val="clear" w:color="auto" w:fill="FFFFFF"/>
        </w:rPr>
        <w:t xml:space="preserve">Yealy, MD </w:t>
      </w:r>
      <w:r w:rsidR="006050C3" w:rsidRPr="009B4880">
        <w:rPr>
          <w:rStyle w:val="apple-converted-space"/>
          <w:szCs w:val="24"/>
          <w:shd w:val="clear" w:color="auto" w:fill="FFFFFF"/>
        </w:rPr>
        <w:t> </w:t>
      </w:r>
      <w:r w:rsidR="006050C3" w:rsidRPr="009B4880">
        <w:rPr>
          <w:rStyle w:val="nfasis"/>
          <w:szCs w:val="24"/>
          <w:shd w:val="clear" w:color="auto" w:fill="FFFFFF"/>
        </w:rPr>
        <w:t>et</w:t>
      </w:r>
      <w:r w:rsidR="006050C3" w:rsidRPr="009B4880">
        <w:rPr>
          <w:rStyle w:val="apple-converted-space"/>
          <w:i/>
          <w:iCs/>
          <w:szCs w:val="24"/>
          <w:shd w:val="clear" w:color="auto" w:fill="FFFFFF"/>
        </w:rPr>
        <w:t> </w:t>
      </w:r>
      <w:r w:rsidR="006050C3" w:rsidRPr="009B4880">
        <w:rPr>
          <w:szCs w:val="24"/>
          <w:shd w:val="clear" w:color="auto" w:fill="FFFFFF"/>
        </w:rPr>
        <w:t>al</w:t>
      </w:r>
      <w:r w:rsidR="006050C3" w:rsidRPr="009B4880">
        <w:rPr>
          <w:szCs w:val="24"/>
          <w:shd w:val="clear" w:color="auto" w:fill="FFFFFF"/>
          <w:vertAlign w:val="superscript"/>
        </w:rPr>
        <w:t xml:space="preserve">39 </w:t>
      </w:r>
      <w:r w:rsidR="006050C3" w:rsidRPr="009B4880">
        <w:rPr>
          <w:szCs w:val="24"/>
          <w:shd w:val="clear" w:color="auto" w:fill="FFFFFF"/>
        </w:rPr>
        <w:t xml:space="preserve">y </w:t>
      </w:r>
      <w:r w:rsidR="006050C3">
        <w:rPr>
          <w:szCs w:val="24"/>
          <w:shd w:val="clear" w:color="auto" w:fill="FFFFFF"/>
        </w:rPr>
        <w:t xml:space="preserve">grupo </w:t>
      </w:r>
      <w:r w:rsidR="006050C3" w:rsidRPr="009B4880">
        <w:rPr>
          <w:szCs w:val="24"/>
          <w:shd w:val="clear" w:color="auto" w:fill="FFFFFF"/>
        </w:rPr>
        <w:t>ARISE</w:t>
      </w:r>
      <w:r w:rsidR="006050C3" w:rsidRPr="009B4880">
        <w:rPr>
          <w:szCs w:val="24"/>
          <w:shd w:val="clear" w:color="auto" w:fill="FFFFFF"/>
          <w:vertAlign w:val="superscript"/>
        </w:rPr>
        <w:t>40</w:t>
      </w:r>
      <w:r>
        <w:rPr>
          <w:szCs w:val="24"/>
          <w:shd w:val="clear" w:color="auto" w:fill="FFFFFF"/>
        </w:rPr>
        <w:t>, no mostraron</w:t>
      </w:r>
      <w:r w:rsidR="006050C3" w:rsidRPr="009B4880">
        <w:rPr>
          <w:szCs w:val="24"/>
          <w:shd w:val="clear" w:color="auto" w:fill="FFFFFF"/>
        </w:rPr>
        <w:t xml:space="preserve"> ningún beneficio en la </w:t>
      </w:r>
      <w:r>
        <w:rPr>
          <w:szCs w:val="24"/>
          <w:shd w:val="clear" w:color="auto" w:fill="FFFFFF"/>
        </w:rPr>
        <w:t>mortalidad</w:t>
      </w:r>
      <w:r w:rsidR="006050C3" w:rsidRPr="009B4880">
        <w:rPr>
          <w:szCs w:val="24"/>
          <w:shd w:val="clear" w:color="auto" w:fill="FFFFFF"/>
        </w:rPr>
        <w:t xml:space="preserve"> en los pacientes asignados a EGDT.</w:t>
      </w:r>
      <w:r w:rsidR="006050C3">
        <w:rPr>
          <w:szCs w:val="24"/>
          <w:shd w:val="clear" w:color="auto" w:fill="FFFFFF"/>
        </w:rPr>
        <w:t xml:space="preserve"> </w:t>
      </w:r>
    </w:p>
    <w:p w14:paraId="32376932" w14:textId="77777777" w:rsidR="006050C3" w:rsidRDefault="006050C3" w:rsidP="002E4EFB">
      <w:pPr>
        <w:spacing w:after="0" w:line="480" w:lineRule="auto"/>
        <w:jc w:val="both"/>
        <w:rPr>
          <w:szCs w:val="24"/>
          <w:shd w:val="clear" w:color="auto" w:fill="FFFFFF"/>
        </w:rPr>
      </w:pPr>
      <w:r>
        <w:rPr>
          <w:szCs w:val="24"/>
          <w:shd w:val="clear" w:color="auto" w:fill="FFFFFF"/>
        </w:rPr>
        <w:t xml:space="preserve">Pocos trabajos han evaluado el efecto de la transfusión sobre la microcirculacion. </w:t>
      </w:r>
    </w:p>
    <w:p w14:paraId="12CB701E" w14:textId="77777777" w:rsidR="006050C3" w:rsidRPr="00CD3DD8" w:rsidRDefault="006050C3" w:rsidP="002E4EFB">
      <w:pPr>
        <w:pStyle w:val="Ttulo3"/>
        <w:spacing w:before="0" w:line="480" w:lineRule="auto"/>
        <w:rPr>
          <w:b w:val="0"/>
          <w:i/>
          <w:color w:val="auto"/>
          <w:szCs w:val="24"/>
        </w:rPr>
      </w:pPr>
      <w:bookmarkStart w:id="13" w:name="_Toc431407916"/>
      <w:r w:rsidRPr="00CD3DD8">
        <w:rPr>
          <w:rFonts w:ascii="Times New Roman" w:hAnsi="Times New Roman" w:cs="Times New Roman"/>
          <w:i/>
          <w:color w:val="auto"/>
        </w:rPr>
        <w:t>Lesión cerebral</w:t>
      </w:r>
      <w:r w:rsidRPr="00CD3DD8">
        <w:rPr>
          <w:i/>
          <w:color w:val="auto"/>
          <w:sz w:val="20"/>
          <w:szCs w:val="20"/>
          <w:vertAlign w:val="superscript"/>
        </w:rPr>
        <w:t>29</w:t>
      </w:r>
      <w:bookmarkEnd w:id="13"/>
    </w:p>
    <w:p w14:paraId="2198F748" w14:textId="77777777" w:rsidR="006050C3" w:rsidRDefault="006050C3" w:rsidP="002E4EFB">
      <w:pPr>
        <w:spacing w:after="0" w:line="480" w:lineRule="auto"/>
        <w:jc w:val="both"/>
      </w:pPr>
      <w:r>
        <w:t>Luego del trauma</w:t>
      </w:r>
      <w:r w:rsidR="00C17A96">
        <w:t xml:space="preserve"> crane</w:t>
      </w:r>
      <w:r w:rsidR="00174EBF">
        <w:t>oencefalico</w:t>
      </w:r>
      <w:r w:rsidR="00C17A96">
        <w:t>, o  hemorragia subaracnoidea</w:t>
      </w:r>
      <w:r>
        <w:t>, se evidencia disminución de la presión tisular de O2 (PtiO2), máximo a la 18 horas pos lesión</w:t>
      </w:r>
      <w:r w:rsidR="00976956">
        <w:t>. L</w:t>
      </w:r>
      <w:r>
        <w:t>as transfusiones indicada</w:t>
      </w:r>
      <w:r w:rsidR="00C17A96">
        <w:t xml:space="preserve">s para mantener  Hb </w:t>
      </w:r>
      <w:r w:rsidR="004C2B44">
        <w:t>10</w:t>
      </w:r>
      <w:r w:rsidR="00B53DC2">
        <w:t xml:space="preserve">g/dl, y </w:t>
      </w:r>
      <w:r>
        <w:t xml:space="preserve"> Hto 30%, se asocian con un aumento local de la PtiO2 tant</w:t>
      </w:r>
      <w:r w:rsidR="00AB18C7">
        <w:t>o en la zona con hipoxia (PtiO2</w:t>
      </w:r>
      <w:r w:rsidR="00F416E5">
        <w:t>&lt; 15</w:t>
      </w:r>
      <w:r>
        <w:t>cmHg) como en las zonas sin ella, sin observar cambios en la presión de perfusión cerebral (PPC), ni en la saturación regional de O2. La Hb libre, por su capacidad de inhibir a la oxido nitro sintetasa, puede producir alteración en la producción y liberación de oxido nítrico a nivel de la circulación cerebral</w:t>
      </w:r>
      <w:r w:rsidR="00F416E5">
        <w:t>, con</w:t>
      </w:r>
      <w:r>
        <w:t xml:space="preserve"> posible papel patogénico sobre las aéreas de penumbras isquémicas. Así las tra</w:t>
      </w:r>
      <w:r w:rsidR="00F416E5">
        <w:t>nsfusiones de GR (que inducen</w:t>
      </w:r>
      <w:r>
        <w:t xml:space="preserve"> incremento de la Hb libre) pueden alterar negativamente e</w:t>
      </w:r>
      <w:r w:rsidR="00AB18C7">
        <w:t>l flujo sanguíneo cerebral</w:t>
      </w:r>
      <w:r w:rsidR="00F416E5">
        <w:t>, sobre todo en presencia de</w:t>
      </w:r>
      <w:r w:rsidR="001B45AD">
        <w:t xml:space="preserve"> barrera hematoencefalica </w:t>
      </w:r>
      <w:r>
        <w:t xml:space="preserve">alterada.  </w:t>
      </w:r>
    </w:p>
    <w:p w14:paraId="04534A78" w14:textId="77777777" w:rsidR="006050C3" w:rsidRPr="00CD3DD8" w:rsidRDefault="006050C3" w:rsidP="002E4EFB">
      <w:pPr>
        <w:pStyle w:val="Ttulo3"/>
        <w:spacing w:before="0" w:line="480" w:lineRule="auto"/>
        <w:rPr>
          <w:i/>
          <w:vertAlign w:val="superscript"/>
        </w:rPr>
      </w:pPr>
      <w:bookmarkStart w:id="14" w:name="_Toc431407917"/>
      <w:r w:rsidRPr="00CD3DD8">
        <w:rPr>
          <w:rFonts w:ascii="Times New Roman" w:hAnsi="Times New Roman" w:cs="Times New Roman"/>
          <w:i/>
          <w:color w:val="auto"/>
        </w:rPr>
        <w:t>Perioperatorio</w:t>
      </w:r>
      <w:r w:rsidRPr="00CD3DD8">
        <w:rPr>
          <w:i/>
          <w:color w:val="auto"/>
          <w:vertAlign w:val="superscript"/>
        </w:rPr>
        <w:t>29</w:t>
      </w:r>
      <w:bookmarkEnd w:id="14"/>
    </w:p>
    <w:p w14:paraId="0A5C91BF" w14:textId="77777777" w:rsidR="006050C3" w:rsidRPr="00B53DC2" w:rsidRDefault="006050C3" w:rsidP="002E4EFB">
      <w:pPr>
        <w:spacing w:after="0" w:line="480" w:lineRule="auto"/>
        <w:jc w:val="both"/>
        <w:rPr>
          <w:i/>
        </w:rPr>
      </w:pPr>
      <w:r>
        <w:t xml:space="preserve">En el </w:t>
      </w:r>
      <w:r w:rsidR="003F61F1">
        <w:t>Perioperatorio</w:t>
      </w:r>
      <w:r w:rsidR="00B53DC2">
        <w:t>, la</w:t>
      </w:r>
      <w:r>
        <w:t xml:space="preserve"> técnica de autotransfusión (extracción anticipada preoperatoria de sangre seguida de su almacenamiento para su </w:t>
      </w:r>
      <w:r w:rsidR="00B53DC2">
        <w:t>reinfusión</w:t>
      </w:r>
      <w:r>
        <w:t xml:space="preserve"> intraoperator</w:t>
      </w:r>
      <w:r w:rsidR="00B53DC2">
        <w:t>ia posterior), no provee beneficios en</w:t>
      </w:r>
      <w:r>
        <w:t xml:space="preserve"> paciente</w:t>
      </w:r>
      <w:r w:rsidR="00B53DC2">
        <w:t>s no anémicos</w:t>
      </w:r>
      <w:r w:rsidR="009B371F">
        <w:t xml:space="preserve"> que requieren </w:t>
      </w:r>
      <w:r>
        <w:t xml:space="preserve">cirugía electiva. </w:t>
      </w:r>
      <w:r w:rsidR="00976956">
        <w:t xml:space="preserve">En paciente </w:t>
      </w:r>
      <w:r>
        <w:t>estable, sin sangrado activo y sin riesgo anticipado de sangrado intraoperatorio significativo</w:t>
      </w:r>
      <w:r w:rsidR="00B53DC2">
        <w:t>,</w:t>
      </w:r>
      <w:r>
        <w:t xml:space="preserve"> se evaluara el requerimiento transfusional teniendo en cuenta los siguientes parámetros</w:t>
      </w:r>
      <w:r w:rsidR="002C5F8B">
        <w:t xml:space="preserve">: </w:t>
      </w:r>
      <w:r w:rsidR="002C5F8B" w:rsidRPr="002C5F8B">
        <w:rPr>
          <w:bCs/>
          <w:i/>
          <w:szCs w:val="24"/>
        </w:rPr>
        <w:t>Paciente</w:t>
      </w:r>
      <w:r w:rsidRPr="002C5F8B">
        <w:rPr>
          <w:bCs/>
          <w:i/>
          <w:szCs w:val="24"/>
        </w:rPr>
        <w:t xml:space="preserve"> sin enfermedad cardiovascular</w:t>
      </w:r>
      <w:r w:rsidR="00B53DC2">
        <w:rPr>
          <w:bCs/>
          <w:i/>
          <w:szCs w:val="24"/>
        </w:rPr>
        <w:t xml:space="preserve">: </w:t>
      </w:r>
      <w:r w:rsidR="00B53DC2" w:rsidRPr="00B53DC2">
        <w:rPr>
          <w:bCs/>
          <w:szCs w:val="24"/>
        </w:rPr>
        <w:t>l</w:t>
      </w:r>
      <w:r w:rsidRPr="002C5F8B">
        <w:rPr>
          <w:bCs/>
          <w:szCs w:val="24"/>
        </w:rPr>
        <w:t>a transfusión es apropiada para mantener un rango de Hb de 7-</w:t>
      </w:r>
      <w:r w:rsidRPr="002C5F8B">
        <w:rPr>
          <w:bCs/>
          <w:szCs w:val="24"/>
        </w:rPr>
        <w:lastRenderedPageBreak/>
        <w:t>9g/dl.</w:t>
      </w:r>
      <w:r w:rsidR="002C5F8B">
        <w:rPr>
          <w:bCs/>
          <w:szCs w:val="24"/>
        </w:rPr>
        <w:t xml:space="preserve"> </w:t>
      </w:r>
      <w:r w:rsidRPr="002C5F8B">
        <w:rPr>
          <w:bCs/>
          <w:i/>
          <w:szCs w:val="24"/>
        </w:rPr>
        <w:t>Paciente con enfermedad cardiovascular conocida o probable:</w:t>
      </w:r>
      <w:r w:rsidR="002C5F8B">
        <w:rPr>
          <w:bCs/>
          <w:szCs w:val="24"/>
        </w:rPr>
        <w:t xml:space="preserve"> </w:t>
      </w:r>
      <w:r w:rsidR="008F25A5">
        <w:rPr>
          <w:bCs/>
          <w:szCs w:val="24"/>
        </w:rPr>
        <w:t>mantener niveles de Hb</w:t>
      </w:r>
      <w:r w:rsidRPr="002C5F8B">
        <w:rPr>
          <w:bCs/>
          <w:szCs w:val="24"/>
        </w:rPr>
        <w:t xml:space="preserve"> 9-10g/dl.</w:t>
      </w:r>
    </w:p>
    <w:p w14:paraId="1C50100D" w14:textId="77777777" w:rsidR="006050C3" w:rsidRPr="00CD3DD8" w:rsidRDefault="006050C3" w:rsidP="002E4EFB">
      <w:pPr>
        <w:pStyle w:val="Ttulo3"/>
        <w:spacing w:before="0" w:line="480" w:lineRule="auto"/>
        <w:jc w:val="both"/>
        <w:rPr>
          <w:rFonts w:ascii="Times New Roman" w:hAnsi="Times New Roman" w:cs="Times New Roman"/>
          <w:i/>
          <w:color w:val="auto"/>
        </w:rPr>
      </w:pPr>
      <w:bookmarkStart w:id="15" w:name="_Toc431407918"/>
      <w:r w:rsidRPr="00CD3DD8">
        <w:rPr>
          <w:rFonts w:ascii="Times New Roman" w:hAnsi="Times New Roman" w:cs="Times New Roman"/>
          <w:i/>
          <w:color w:val="auto"/>
        </w:rPr>
        <w:t>Politraumatismo</w:t>
      </w:r>
      <w:bookmarkEnd w:id="15"/>
    </w:p>
    <w:p w14:paraId="46847706" w14:textId="77777777" w:rsidR="006050C3" w:rsidRDefault="009838BC" w:rsidP="002E4EFB">
      <w:pPr>
        <w:spacing w:after="0" w:line="480" w:lineRule="auto"/>
        <w:jc w:val="both"/>
        <w:rPr>
          <w:bCs/>
          <w:szCs w:val="24"/>
        </w:rPr>
      </w:pPr>
      <w:r>
        <w:rPr>
          <w:bCs/>
          <w:szCs w:val="24"/>
        </w:rPr>
        <w:t>En el</w:t>
      </w:r>
      <w:r w:rsidR="006050C3">
        <w:rPr>
          <w:bCs/>
          <w:szCs w:val="24"/>
        </w:rPr>
        <w:t xml:space="preserve"> estudio TRICC</w:t>
      </w:r>
      <w:r>
        <w:rPr>
          <w:bCs/>
          <w:szCs w:val="24"/>
        </w:rPr>
        <w:t>,</w:t>
      </w:r>
      <w:r w:rsidR="006050C3">
        <w:rPr>
          <w:bCs/>
          <w:szCs w:val="24"/>
        </w:rPr>
        <w:t xml:space="preserve"> en este subgrupo d</w:t>
      </w:r>
      <w:r w:rsidR="008F25A5">
        <w:rPr>
          <w:bCs/>
          <w:szCs w:val="24"/>
        </w:rPr>
        <w:t>e pacientes, la mortalidad a</w:t>
      </w:r>
      <w:r w:rsidR="006050C3">
        <w:rPr>
          <w:bCs/>
          <w:szCs w:val="24"/>
        </w:rPr>
        <w:t xml:space="preserve"> 30 días en el grupo restrictivo fue del 10% </w:t>
      </w:r>
      <w:r>
        <w:rPr>
          <w:bCs/>
          <w:szCs w:val="24"/>
        </w:rPr>
        <w:t xml:space="preserve">frente al </w:t>
      </w:r>
      <w:r w:rsidR="006050C3">
        <w:rPr>
          <w:bCs/>
          <w:szCs w:val="24"/>
        </w:rPr>
        <w:t>liberal, del 8,8%</w:t>
      </w:r>
      <w:r w:rsidR="00B53DC2">
        <w:rPr>
          <w:bCs/>
          <w:szCs w:val="24"/>
        </w:rPr>
        <w:t xml:space="preserve"> </w:t>
      </w:r>
      <w:r w:rsidR="006050C3">
        <w:rPr>
          <w:bCs/>
          <w:szCs w:val="24"/>
        </w:rPr>
        <w:t>(diferencia no significati</w:t>
      </w:r>
      <w:r w:rsidR="008F25A5">
        <w:rPr>
          <w:bCs/>
          <w:szCs w:val="24"/>
        </w:rPr>
        <w:t>va). El trauma grave</w:t>
      </w:r>
      <w:r w:rsidR="00A61874">
        <w:rPr>
          <w:bCs/>
          <w:szCs w:val="24"/>
        </w:rPr>
        <w:t xml:space="preserve"> produce</w:t>
      </w:r>
      <w:r w:rsidR="006050C3">
        <w:rPr>
          <w:bCs/>
          <w:szCs w:val="24"/>
        </w:rPr>
        <w:t xml:space="preserve"> respuesta inflamat</w:t>
      </w:r>
      <w:r w:rsidR="00A61874">
        <w:rPr>
          <w:bCs/>
          <w:szCs w:val="24"/>
        </w:rPr>
        <w:t>oria, y la transfusión asociada</w:t>
      </w:r>
      <w:r w:rsidR="006050C3">
        <w:rPr>
          <w:bCs/>
          <w:szCs w:val="24"/>
        </w:rPr>
        <w:t xml:space="preserve"> puede comportarse como una segunda lesión que ampli</w:t>
      </w:r>
      <w:r w:rsidR="00A61874">
        <w:rPr>
          <w:bCs/>
          <w:szCs w:val="24"/>
        </w:rPr>
        <w:t>fique esta respuesta</w:t>
      </w:r>
      <w:r w:rsidR="006050C3">
        <w:rPr>
          <w:bCs/>
          <w:szCs w:val="24"/>
        </w:rPr>
        <w:t xml:space="preserve"> y la lesión sistémica subsecuente</w:t>
      </w:r>
      <w:r w:rsidR="006050C3">
        <w:rPr>
          <w:bCs/>
          <w:szCs w:val="24"/>
          <w:vertAlign w:val="superscript"/>
        </w:rPr>
        <w:t>41</w:t>
      </w:r>
      <w:r w:rsidR="006050C3">
        <w:rPr>
          <w:bCs/>
          <w:szCs w:val="24"/>
        </w:rPr>
        <w:t>.</w:t>
      </w:r>
      <w:r w:rsidR="006050C3">
        <w:rPr>
          <w:bCs/>
          <w:szCs w:val="24"/>
          <w:vertAlign w:val="superscript"/>
        </w:rPr>
        <w:t xml:space="preserve"> </w:t>
      </w:r>
      <w:r w:rsidR="00B53DC2">
        <w:rPr>
          <w:bCs/>
          <w:szCs w:val="24"/>
        </w:rPr>
        <w:t>La</w:t>
      </w:r>
      <w:r w:rsidR="006050C3">
        <w:rPr>
          <w:bCs/>
          <w:szCs w:val="24"/>
        </w:rPr>
        <w:t xml:space="preserve"> evidencia disponible sugiere una estrategia restrictiva </w:t>
      </w:r>
      <w:r w:rsidR="009B371F">
        <w:rPr>
          <w:bCs/>
          <w:szCs w:val="24"/>
        </w:rPr>
        <w:t>podría ser</w:t>
      </w:r>
      <w:r w:rsidR="00A61874">
        <w:rPr>
          <w:bCs/>
          <w:szCs w:val="24"/>
        </w:rPr>
        <w:t xml:space="preserve"> segura</w:t>
      </w:r>
      <w:r w:rsidR="006050C3">
        <w:rPr>
          <w:bCs/>
          <w:szCs w:val="24"/>
        </w:rPr>
        <w:t>. No obstante, la heterogeneidad de este subgrupo de paciente</w:t>
      </w:r>
      <w:r w:rsidR="00B53DC2">
        <w:rPr>
          <w:bCs/>
          <w:szCs w:val="24"/>
        </w:rPr>
        <w:t>s</w:t>
      </w:r>
      <w:r w:rsidR="006050C3">
        <w:rPr>
          <w:bCs/>
          <w:szCs w:val="24"/>
        </w:rPr>
        <w:t xml:space="preserve"> es tan grande que tal conclusión parece difícil de aplicar como regla general. Una vez estabilizado el paciente requiere una estrategia </w:t>
      </w:r>
      <w:r w:rsidR="00B53DC2">
        <w:rPr>
          <w:bCs/>
          <w:szCs w:val="24"/>
        </w:rPr>
        <w:t>transfusional</w:t>
      </w:r>
      <w:r w:rsidR="006050C3">
        <w:rPr>
          <w:bCs/>
          <w:szCs w:val="24"/>
        </w:rPr>
        <w:t xml:space="preserve"> restrictiva. </w:t>
      </w:r>
    </w:p>
    <w:p w14:paraId="62D6F2C6" w14:textId="77777777" w:rsidR="006050C3" w:rsidRPr="00CD3DD8" w:rsidRDefault="001575F1" w:rsidP="002E4EFB">
      <w:pPr>
        <w:pStyle w:val="Ttulo3"/>
        <w:spacing w:before="0" w:line="480" w:lineRule="auto"/>
        <w:jc w:val="both"/>
        <w:rPr>
          <w:rFonts w:ascii="Times New Roman" w:hAnsi="Times New Roman" w:cs="Times New Roman"/>
          <w:i/>
          <w:color w:val="auto"/>
        </w:rPr>
      </w:pPr>
      <w:bookmarkStart w:id="16" w:name="_Toc431407919"/>
      <w:r>
        <w:rPr>
          <w:rFonts w:ascii="Times New Roman" w:hAnsi="Times New Roman" w:cs="Times New Roman"/>
          <w:i/>
          <w:color w:val="auto"/>
        </w:rPr>
        <w:t>Pacientes obstétricas crítica</w:t>
      </w:r>
      <w:r w:rsidR="006050C3" w:rsidRPr="00CD3DD8">
        <w:rPr>
          <w:rFonts w:ascii="Times New Roman" w:hAnsi="Times New Roman" w:cs="Times New Roman"/>
          <w:i/>
          <w:color w:val="auto"/>
        </w:rPr>
        <w:t>s</w:t>
      </w:r>
      <w:bookmarkEnd w:id="16"/>
      <w:r w:rsidR="006050C3" w:rsidRPr="00CD3DD8">
        <w:rPr>
          <w:rFonts w:ascii="Times New Roman" w:hAnsi="Times New Roman" w:cs="Times New Roman"/>
          <w:i/>
          <w:color w:val="auto"/>
        </w:rPr>
        <w:t xml:space="preserve"> </w:t>
      </w:r>
    </w:p>
    <w:p w14:paraId="6B2C8EB6" w14:textId="77777777" w:rsidR="006050C3" w:rsidRDefault="00A61874" w:rsidP="002E4EFB">
      <w:pPr>
        <w:spacing w:after="0" w:line="480" w:lineRule="auto"/>
        <w:jc w:val="both"/>
        <w:rPr>
          <w:bCs/>
          <w:szCs w:val="24"/>
        </w:rPr>
      </w:pPr>
      <w:r>
        <w:rPr>
          <w:bCs/>
          <w:szCs w:val="24"/>
        </w:rPr>
        <w:t>E</w:t>
      </w:r>
      <w:r w:rsidR="00011183">
        <w:rPr>
          <w:bCs/>
          <w:szCs w:val="24"/>
        </w:rPr>
        <w:t xml:space="preserve">l </w:t>
      </w:r>
      <w:r w:rsidR="006050C3">
        <w:rPr>
          <w:bCs/>
          <w:szCs w:val="24"/>
        </w:rPr>
        <w:t>nivel de Hb considera</w:t>
      </w:r>
      <w:r w:rsidR="00011183">
        <w:rPr>
          <w:bCs/>
          <w:szCs w:val="24"/>
        </w:rPr>
        <w:t>do adecuado es</w:t>
      </w:r>
      <w:r w:rsidR="006050C3">
        <w:rPr>
          <w:bCs/>
          <w:szCs w:val="24"/>
        </w:rPr>
        <w:t xml:space="preserve"> 10–12 g/dl, definiéndose anemia durante el embarazo a la concentración de</w:t>
      </w:r>
      <w:r w:rsidR="00011183">
        <w:rPr>
          <w:bCs/>
          <w:szCs w:val="24"/>
        </w:rPr>
        <w:t xml:space="preserve"> Hb &lt;</w:t>
      </w:r>
      <w:r w:rsidR="001575F1">
        <w:rPr>
          <w:bCs/>
          <w:szCs w:val="24"/>
        </w:rPr>
        <w:t>10g/dl. Cerca del</w:t>
      </w:r>
      <w:r w:rsidR="006050C3">
        <w:rPr>
          <w:bCs/>
          <w:szCs w:val="24"/>
        </w:rPr>
        <w:t xml:space="preserve"> 2% de los embarazo</w:t>
      </w:r>
      <w:r w:rsidR="001575F1">
        <w:rPr>
          <w:bCs/>
          <w:szCs w:val="24"/>
        </w:rPr>
        <w:t>s</w:t>
      </w:r>
      <w:r w:rsidR="006050C3">
        <w:rPr>
          <w:bCs/>
          <w:szCs w:val="24"/>
        </w:rPr>
        <w:t xml:space="preserve"> requiere</w:t>
      </w:r>
      <w:r w:rsidR="001575F1">
        <w:rPr>
          <w:bCs/>
          <w:szCs w:val="24"/>
        </w:rPr>
        <w:t>n</w:t>
      </w:r>
      <w:r w:rsidR="006050C3">
        <w:rPr>
          <w:bCs/>
          <w:szCs w:val="24"/>
        </w:rPr>
        <w:t xml:space="preserve"> transfusión en el </w:t>
      </w:r>
      <w:r w:rsidR="009838BC">
        <w:rPr>
          <w:bCs/>
          <w:szCs w:val="24"/>
        </w:rPr>
        <w:t xml:space="preserve">periodo periparto </w:t>
      </w:r>
      <w:r w:rsidR="006050C3">
        <w:rPr>
          <w:bCs/>
          <w:szCs w:val="24"/>
        </w:rPr>
        <w:t>por complicaciones hemorrágicas. La presencia y la gravedad de la sintomatología debe</w:t>
      </w:r>
      <w:r w:rsidR="000413C2">
        <w:rPr>
          <w:bCs/>
          <w:szCs w:val="24"/>
        </w:rPr>
        <w:t>rán guiar la conducta con valores de Hb</w:t>
      </w:r>
      <w:r w:rsidR="006050C3">
        <w:rPr>
          <w:bCs/>
          <w:szCs w:val="24"/>
        </w:rPr>
        <w:t xml:space="preserve"> entre 7 y 10 g/dl. </w:t>
      </w:r>
    </w:p>
    <w:p w14:paraId="276BD4D4" w14:textId="77777777" w:rsidR="006050C3" w:rsidRPr="008E5DD7" w:rsidRDefault="006050C3" w:rsidP="002E4EFB">
      <w:pPr>
        <w:pStyle w:val="Ttulo3"/>
        <w:spacing w:line="480" w:lineRule="auto"/>
        <w:rPr>
          <w:rFonts w:ascii="Times New Roman" w:hAnsi="Times New Roman" w:cs="Times New Roman"/>
          <w:color w:val="auto"/>
          <w:shd w:val="clear" w:color="auto" w:fill="FFFFFF"/>
        </w:rPr>
      </w:pPr>
      <w:bookmarkStart w:id="17" w:name="_Toc431407921"/>
      <w:r w:rsidRPr="008E5DD7">
        <w:rPr>
          <w:rFonts w:ascii="Times New Roman" w:eastAsia="Arial Unicode MS" w:hAnsi="Times New Roman" w:cs="Times New Roman"/>
          <w:color w:val="auto"/>
        </w:rPr>
        <w:t>Complicaciones infecciosas asociadas a la transfusión de GRA</w:t>
      </w:r>
      <w:bookmarkEnd w:id="17"/>
    </w:p>
    <w:p w14:paraId="6ED09477" w14:textId="77777777" w:rsidR="006050C3" w:rsidRDefault="006050C3" w:rsidP="002E4EFB">
      <w:pPr>
        <w:shd w:val="clear" w:color="auto" w:fill="FFFFFF"/>
        <w:spacing w:after="0" w:line="480" w:lineRule="auto"/>
        <w:jc w:val="both"/>
        <w:rPr>
          <w:rFonts w:eastAsia="Arial Unicode MS"/>
          <w:szCs w:val="24"/>
          <w:shd w:val="clear" w:color="auto" w:fill="FFFFFF"/>
        </w:rPr>
      </w:pPr>
      <w:r w:rsidRPr="00302357">
        <w:rPr>
          <w:rFonts w:eastAsia="Arial Unicode MS"/>
          <w:szCs w:val="24"/>
          <w:lang w:eastAsia="es-AR"/>
        </w:rPr>
        <w:t>El riesgo de transmisión ha d</w:t>
      </w:r>
      <w:r w:rsidR="00A61874">
        <w:rPr>
          <w:rFonts w:eastAsia="Arial Unicode MS"/>
          <w:szCs w:val="24"/>
          <w:lang w:eastAsia="es-AR"/>
        </w:rPr>
        <w:t>isminuido</w:t>
      </w:r>
      <w:r w:rsidRPr="00302357">
        <w:rPr>
          <w:rFonts w:eastAsia="Arial Unicode MS"/>
          <w:szCs w:val="24"/>
          <w:lang w:eastAsia="es-AR"/>
        </w:rPr>
        <w:t xml:space="preserve"> con la introducción de técnicas de amplificación de ácidos nucleicos y otros métodos de screening</w:t>
      </w:r>
      <w:r w:rsidRPr="00302357">
        <w:rPr>
          <w:rFonts w:eastAsia="Arial Unicode MS"/>
          <w:szCs w:val="24"/>
          <w:vertAlign w:val="superscript"/>
          <w:lang w:eastAsia="es-AR"/>
        </w:rPr>
        <w:t>45,46,47</w:t>
      </w:r>
      <w:r w:rsidRPr="00302357">
        <w:rPr>
          <w:rFonts w:eastAsia="Arial Unicode MS"/>
          <w:szCs w:val="24"/>
          <w:lang w:eastAsia="es-AR"/>
        </w:rPr>
        <w:t xml:space="preserve">. </w:t>
      </w:r>
      <w:r w:rsidRPr="00302357">
        <w:rPr>
          <w:rFonts w:eastAsia="Arial Unicode MS"/>
          <w:szCs w:val="24"/>
          <w:shd w:val="clear" w:color="auto" w:fill="FFFFFF"/>
        </w:rPr>
        <w:t>Los microorganismos potencialmen</w:t>
      </w:r>
      <w:r>
        <w:rPr>
          <w:rFonts w:eastAsia="Arial Unicode MS"/>
          <w:szCs w:val="24"/>
          <w:shd w:val="clear" w:color="auto" w:fill="FFFFFF"/>
        </w:rPr>
        <w:t xml:space="preserve">te transmisibles </w:t>
      </w:r>
      <w:r w:rsidRPr="00302357">
        <w:rPr>
          <w:rFonts w:eastAsia="Arial Unicode MS"/>
          <w:szCs w:val="24"/>
          <w:shd w:val="clear" w:color="auto" w:fill="FFFFFF"/>
        </w:rPr>
        <w:t>incluyen: VHB (riesgo estimado 1:350.000</w:t>
      </w:r>
      <w:r w:rsidR="0001575F">
        <w:rPr>
          <w:rFonts w:eastAsia="Arial Unicode MS"/>
          <w:szCs w:val="24"/>
          <w:shd w:val="clear" w:color="auto" w:fill="FFFFFF"/>
        </w:rPr>
        <w:t>), VHC (</w:t>
      </w:r>
      <w:r w:rsidRPr="00302357">
        <w:rPr>
          <w:rFonts w:eastAsia="Arial Unicode MS"/>
          <w:szCs w:val="24"/>
          <w:shd w:val="clear" w:color="auto" w:fill="FFFFFF"/>
        </w:rPr>
        <w:t>1:1.800.000–10.880.000), VIH (1:2.300.000–4.300.000), VHA, parvovirus B19, VLTH 1-2, CMV, VEB, West Nile Virus, simian foamy virus, virus del dengue, enterovirus, coronavirus y priones</w:t>
      </w:r>
      <w:r w:rsidRPr="00302357">
        <w:rPr>
          <w:rFonts w:eastAsia="Arial Unicode MS"/>
          <w:szCs w:val="24"/>
          <w:shd w:val="clear" w:color="auto" w:fill="FFFFFF"/>
          <w:vertAlign w:val="superscript"/>
        </w:rPr>
        <w:t>45,46,47</w:t>
      </w:r>
      <w:r w:rsidRPr="00302357">
        <w:rPr>
          <w:rFonts w:eastAsia="Arial Unicode MS"/>
          <w:szCs w:val="24"/>
          <w:shd w:val="clear" w:color="auto" w:fill="FFFFFF"/>
        </w:rPr>
        <w:t>, ba</w:t>
      </w:r>
      <w:r w:rsidR="0001575F">
        <w:rPr>
          <w:rFonts w:eastAsia="Arial Unicode MS"/>
          <w:szCs w:val="24"/>
          <w:shd w:val="clear" w:color="auto" w:fill="FFFFFF"/>
        </w:rPr>
        <w:t xml:space="preserve">cterias como treponema pallidum, </w:t>
      </w:r>
      <w:r w:rsidRPr="00302357">
        <w:rPr>
          <w:rFonts w:eastAsia="Arial Unicode MS"/>
          <w:szCs w:val="24"/>
          <w:shd w:val="clear" w:color="auto" w:fill="FFFFFF"/>
        </w:rPr>
        <w:t>staphylococcus, pseudomonas, yersinia, borrelia, serratia y enterobacter; protozoos (géneros leishmania, trypanosoma, plasmodium, toxoplasma, babesia). La incidencia de</w:t>
      </w:r>
      <w:r>
        <w:rPr>
          <w:rFonts w:eastAsia="Arial Unicode MS"/>
          <w:szCs w:val="24"/>
          <w:shd w:val="clear" w:color="auto" w:fill="FFFFFF"/>
        </w:rPr>
        <w:t xml:space="preserve"> sepsis </w:t>
      </w:r>
      <w:r w:rsidRPr="00302357">
        <w:rPr>
          <w:rFonts w:eastAsia="Arial Unicode MS"/>
          <w:szCs w:val="24"/>
          <w:shd w:val="clear" w:color="auto" w:fill="FFFFFF"/>
        </w:rPr>
        <w:t xml:space="preserve">se estima en 1:250.000 transfusiones. </w:t>
      </w:r>
      <w:r w:rsidRPr="002B4E72">
        <w:rPr>
          <w:rFonts w:eastAsia="Arial Unicode MS"/>
          <w:szCs w:val="24"/>
          <w:shd w:val="clear" w:color="auto" w:fill="FFFFFF"/>
        </w:rPr>
        <w:t xml:space="preserve">Asimismo, persiste el riesgo </w:t>
      </w:r>
      <w:r w:rsidRPr="002B4E72">
        <w:rPr>
          <w:rFonts w:eastAsia="Arial Unicode MS"/>
          <w:szCs w:val="24"/>
          <w:shd w:val="clear" w:color="auto" w:fill="FFFFFF"/>
        </w:rPr>
        <w:lastRenderedPageBreak/>
        <w:t>po</w:t>
      </w:r>
      <w:r w:rsidR="00A61874">
        <w:rPr>
          <w:rFonts w:eastAsia="Arial Unicode MS"/>
          <w:szCs w:val="24"/>
          <w:shd w:val="clear" w:color="auto" w:fill="FFFFFF"/>
        </w:rPr>
        <w:t>tencial de transmisión</w:t>
      </w:r>
      <w:r w:rsidRPr="002B4E72">
        <w:rPr>
          <w:rFonts w:eastAsia="Arial Unicode MS"/>
          <w:szCs w:val="24"/>
          <w:shd w:val="clear" w:color="auto" w:fill="FFFFFF"/>
        </w:rPr>
        <w:t xml:space="preserve"> d</w:t>
      </w:r>
      <w:r w:rsidR="00A61874">
        <w:rPr>
          <w:rFonts w:eastAsia="Arial Unicode MS"/>
          <w:szCs w:val="24"/>
          <w:shd w:val="clear" w:color="auto" w:fill="FFFFFF"/>
        </w:rPr>
        <w:t>e virus aún desconocidos</w:t>
      </w:r>
      <w:r w:rsidRPr="002B4E72">
        <w:rPr>
          <w:rFonts w:eastAsia="Arial Unicode MS"/>
          <w:szCs w:val="24"/>
          <w:shd w:val="clear" w:color="auto" w:fill="FFFFFF"/>
        </w:rPr>
        <w:t xml:space="preserve"> (chikungunya virus, St.Louis encephalitis virus, etc.) y nuevas variantes de la enfermedad de Creutzfeldt-Jakob</w:t>
      </w:r>
      <w:r w:rsidRPr="002B4E72">
        <w:rPr>
          <w:rFonts w:eastAsia="Arial Unicode MS"/>
          <w:szCs w:val="24"/>
          <w:shd w:val="clear" w:color="auto" w:fill="FFFFFF"/>
          <w:vertAlign w:val="superscript"/>
        </w:rPr>
        <w:t>45, 46,47</w:t>
      </w:r>
      <w:r w:rsidRPr="002B4E72">
        <w:rPr>
          <w:rFonts w:eastAsia="Arial Unicode MS"/>
          <w:szCs w:val="24"/>
          <w:shd w:val="clear" w:color="auto" w:fill="FFFFFF"/>
        </w:rPr>
        <w:t>.</w:t>
      </w:r>
    </w:p>
    <w:p w14:paraId="52DC960F" w14:textId="77777777" w:rsidR="006050C3" w:rsidRPr="008E5DD7" w:rsidRDefault="006050C3" w:rsidP="002E4EFB">
      <w:pPr>
        <w:pStyle w:val="Ttulo3"/>
        <w:spacing w:line="480" w:lineRule="auto"/>
        <w:rPr>
          <w:rFonts w:ascii="Times New Roman" w:hAnsi="Times New Roman" w:cs="Times New Roman"/>
          <w:color w:val="auto"/>
        </w:rPr>
      </w:pPr>
      <w:bookmarkStart w:id="18" w:name="_Toc431407922"/>
      <w:r w:rsidRPr="008E5DD7">
        <w:rPr>
          <w:rFonts w:ascii="Times New Roman" w:eastAsia="Arial Unicode MS" w:hAnsi="Times New Roman" w:cs="Times New Roman"/>
          <w:color w:val="auto"/>
        </w:rPr>
        <w:t>Complicaciones no infecciosas asociadas a la transfusión GRA</w:t>
      </w:r>
      <w:bookmarkEnd w:id="18"/>
    </w:p>
    <w:p w14:paraId="7375AEF6" w14:textId="77777777" w:rsidR="006050C3" w:rsidRDefault="00EA512B" w:rsidP="002E4EFB">
      <w:pPr>
        <w:shd w:val="clear" w:color="auto" w:fill="FFFFFF"/>
        <w:spacing w:after="0" w:line="480" w:lineRule="auto"/>
        <w:jc w:val="both"/>
        <w:rPr>
          <w:rFonts w:eastAsia="Arial Unicode MS"/>
          <w:szCs w:val="24"/>
          <w:lang w:eastAsia="es-AR"/>
        </w:rPr>
      </w:pPr>
      <w:r>
        <w:rPr>
          <w:rFonts w:eastAsia="Arial Unicode MS"/>
          <w:szCs w:val="24"/>
          <w:lang w:eastAsia="es-AR"/>
        </w:rPr>
        <w:t>R</w:t>
      </w:r>
      <w:r w:rsidR="006050C3" w:rsidRPr="00942207">
        <w:rPr>
          <w:rFonts w:eastAsia="Arial Unicode MS"/>
          <w:szCs w:val="24"/>
          <w:lang w:eastAsia="es-AR"/>
        </w:rPr>
        <w:t xml:space="preserve">epresentan el grupo de efectos adversos más frecuentes. </w:t>
      </w:r>
      <w:r w:rsidR="00B751BD">
        <w:rPr>
          <w:rFonts w:eastAsia="Arial Unicode MS"/>
          <w:szCs w:val="24"/>
          <w:lang w:eastAsia="es-AR"/>
        </w:rPr>
        <w:t>Entre l</w:t>
      </w:r>
      <w:r w:rsidR="006050C3" w:rsidRPr="00942207">
        <w:rPr>
          <w:rFonts w:eastAsia="Arial Unicode MS"/>
          <w:szCs w:val="24"/>
          <w:lang w:eastAsia="es-AR"/>
        </w:rPr>
        <w:t xml:space="preserve">as </w:t>
      </w:r>
      <w:r w:rsidR="006050C3" w:rsidRPr="0021287E">
        <w:rPr>
          <w:rFonts w:eastAsia="Arial Unicode MS"/>
          <w:i/>
          <w:szCs w:val="24"/>
          <w:lang w:eastAsia="es-AR"/>
        </w:rPr>
        <w:t>reacciones inmunes</w:t>
      </w:r>
      <w:r w:rsidR="006050C3" w:rsidRPr="00942207">
        <w:rPr>
          <w:rFonts w:eastAsia="Arial Unicode MS"/>
          <w:szCs w:val="24"/>
          <w:lang w:eastAsia="es-AR"/>
        </w:rPr>
        <w:t xml:space="preserve"> </w:t>
      </w:r>
      <w:r w:rsidR="00C70C0D">
        <w:rPr>
          <w:rFonts w:eastAsia="Arial Unicode MS"/>
          <w:szCs w:val="24"/>
          <w:shd w:val="clear" w:color="auto" w:fill="FFFFFF"/>
        </w:rPr>
        <w:t>agudas</w:t>
      </w:r>
      <w:r w:rsidR="008D3FAA" w:rsidRPr="002B4E72">
        <w:rPr>
          <w:rFonts w:eastAsia="Arial Unicode MS"/>
          <w:szCs w:val="24"/>
          <w:shd w:val="clear" w:color="auto" w:fill="FFFFFF"/>
        </w:rPr>
        <w:t xml:space="preserve"> </w:t>
      </w:r>
      <w:r w:rsidR="006050C3">
        <w:rPr>
          <w:rFonts w:eastAsia="Arial Unicode MS"/>
          <w:szCs w:val="24"/>
          <w:lang w:eastAsia="es-AR"/>
        </w:rPr>
        <w:t xml:space="preserve">se </w:t>
      </w:r>
      <w:r w:rsidR="006050C3" w:rsidRPr="00942207">
        <w:rPr>
          <w:rFonts w:eastAsia="Arial Unicode MS"/>
          <w:szCs w:val="24"/>
          <w:lang w:eastAsia="es-AR"/>
        </w:rPr>
        <w:t>destacan: reacciones hemolíticas, reacciones febriles</w:t>
      </w:r>
      <w:r w:rsidR="006050C3">
        <w:rPr>
          <w:rFonts w:eastAsia="Arial Unicode MS"/>
          <w:szCs w:val="24"/>
          <w:lang w:eastAsia="es-AR"/>
        </w:rPr>
        <w:t xml:space="preserve"> no hemolítica</w:t>
      </w:r>
      <w:r w:rsidR="009E71DC">
        <w:rPr>
          <w:rFonts w:eastAsia="Arial Unicode MS"/>
          <w:szCs w:val="24"/>
          <w:lang w:eastAsia="es-AR"/>
        </w:rPr>
        <w:t>s</w:t>
      </w:r>
      <w:r w:rsidR="006050C3" w:rsidRPr="00942207">
        <w:rPr>
          <w:rFonts w:eastAsia="Arial Unicode MS"/>
          <w:szCs w:val="24"/>
          <w:lang w:eastAsia="es-AR"/>
        </w:rPr>
        <w:t>, reacciones alérgicas,</w:t>
      </w:r>
      <w:r w:rsidR="008D3FAA" w:rsidRPr="008D3FAA">
        <w:rPr>
          <w:rFonts w:eastAsia="Arial Unicode MS"/>
          <w:szCs w:val="24"/>
          <w:lang w:eastAsia="es-AR"/>
        </w:rPr>
        <w:t xml:space="preserve"> </w:t>
      </w:r>
      <w:r w:rsidR="008D3FAA" w:rsidRPr="00942207">
        <w:rPr>
          <w:rFonts w:eastAsia="Arial Unicode MS"/>
          <w:szCs w:val="24"/>
          <w:lang w:eastAsia="es-AR"/>
        </w:rPr>
        <w:t>aloinmu</w:t>
      </w:r>
      <w:r w:rsidR="008D3FAA">
        <w:rPr>
          <w:rFonts w:eastAsia="Arial Unicode MS"/>
          <w:szCs w:val="24"/>
          <w:lang w:eastAsia="es-AR"/>
        </w:rPr>
        <w:t>nización, lesión pulmonar aguda asociada a transfusión</w:t>
      </w:r>
      <w:r w:rsidR="00B751BD">
        <w:rPr>
          <w:rFonts w:eastAsia="Arial Unicode MS"/>
          <w:szCs w:val="24"/>
          <w:lang w:eastAsia="es-AR"/>
        </w:rPr>
        <w:t>,</w:t>
      </w:r>
      <w:r w:rsidR="008D3FAA">
        <w:rPr>
          <w:rFonts w:eastAsia="Arial Unicode MS"/>
          <w:szCs w:val="24"/>
          <w:lang w:eastAsia="es-AR"/>
        </w:rPr>
        <w:t xml:space="preserve"> </w:t>
      </w:r>
      <w:r w:rsidR="008D3FAA" w:rsidRPr="00942207">
        <w:rPr>
          <w:rFonts w:eastAsia="Arial Unicode MS"/>
          <w:szCs w:val="24"/>
          <w:lang w:eastAsia="es-AR"/>
        </w:rPr>
        <w:t xml:space="preserve">TRALI </w:t>
      </w:r>
      <w:r w:rsidR="008D3FAA" w:rsidRPr="00942207">
        <w:rPr>
          <w:rFonts w:eastAsia="Arial Unicode MS"/>
          <w:szCs w:val="24"/>
          <w:shd w:val="clear" w:color="auto" w:fill="FFFFFF"/>
        </w:rPr>
        <w:t>(</w:t>
      </w:r>
      <w:r w:rsidR="008D3FAA" w:rsidRPr="00942207">
        <w:rPr>
          <w:rStyle w:val="elsevierstyleitalic"/>
          <w:rFonts w:eastAsia="Arial Unicode MS"/>
          <w:i/>
          <w:iCs/>
          <w:szCs w:val="24"/>
          <w:shd w:val="clear" w:color="auto" w:fill="FFFFFF"/>
        </w:rPr>
        <w:t>transfusion-related acute lung injury</w:t>
      </w:r>
      <w:r w:rsidR="008D3FAA" w:rsidRPr="00942207">
        <w:rPr>
          <w:rFonts w:eastAsia="Arial Unicode MS"/>
          <w:szCs w:val="24"/>
          <w:shd w:val="clear" w:color="auto" w:fill="FFFFFF"/>
        </w:rPr>
        <w:t>)</w:t>
      </w:r>
      <w:r w:rsidR="008D3FAA">
        <w:rPr>
          <w:rFonts w:eastAsia="Arial Unicode MS"/>
          <w:szCs w:val="24"/>
          <w:shd w:val="clear" w:color="auto" w:fill="FFFFFF"/>
        </w:rPr>
        <w:t>,</w:t>
      </w:r>
      <w:r w:rsidR="006050C3" w:rsidRPr="00942207">
        <w:rPr>
          <w:rFonts w:eastAsia="Arial Unicode MS"/>
          <w:szCs w:val="24"/>
          <w:lang w:eastAsia="es-AR"/>
        </w:rPr>
        <w:t xml:space="preserve"> púrpura postransfusional, efecto </w:t>
      </w:r>
      <w:r>
        <w:rPr>
          <w:rFonts w:eastAsia="Arial Unicode MS"/>
          <w:szCs w:val="24"/>
          <w:lang w:eastAsia="es-AR"/>
        </w:rPr>
        <w:t xml:space="preserve">injerto contra huésped, </w:t>
      </w:r>
      <w:r w:rsidR="006050C3" w:rsidRPr="00942207">
        <w:rPr>
          <w:rFonts w:eastAsia="Arial Unicode MS"/>
          <w:szCs w:val="24"/>
          <w:shd w:val="clear" w:color="auto" w:fill="FFFFFF"/>
        </w:rPr>
        <w:t>efecto inmunosupresor</w:t>
      </w:r>
      <w:r w:rsidR="00B751BD" w:rsidRPr="00942207">
        <w:rPr>
          <w:rFonts w:eastAsia="Arial Unicode MS"/>
          <w:szCs w:val="24"/>
          <w:shd w:val="clear" w:color="auto" w:fill="FFFFFF"/>
        </w:rPr>
        <w:t>,</w:t>
      </w:r>
      <w:r w:rsidR="006050C3" w:rsidRPr="00942207">
        <w:rPr>
          <w:rFonts w:eastAsia="Arial Unicode MS"/>
          <w:szCs w:val="24"/>
          <w:shd w:val="clear" w:color="auto" w:fill="FFFFFF"/>
        </w:rPr>
        <w:t xml:space="preserve"> </w:t>
      </w:r>
      <w:r w:rsidR="00B751BD" w:rsidRPr="00942207">
        <w:rPr>
          <w:rFonts w:eastAsia="Arial Unicode MS"/>
          <w:szCs w:val="24"/>
          <w:shd w:val="clear" w:color="auto" w:fill="FFFFFF"/>
        </w:rPr>
        <w:t xml:space="preserve">TRIM </w:t>
      </w:r>
      <w:r w:rsidR="006050C3" w:rsidRPr="00942207">
        <w:rPr>
          <w:rFonts w:eastAsia="Arial Unicode MS"/>
          <w:szCs w:val="24"/>
          <w:shd w:val="clear" w:color="auto" w:fill="FFFFFF"/>
        </w:rPr>
        <w:t>(</w:t>
      </w:r>
      <w:r w:rsidR="006050C3" w:rsidRPr="00942207">
        <w:rPr>
          <w:rStyle w:val="elsevierstyleitalic"/>
          <w:rFonts w:eastAsia="Arial Unicode MS"/>
          <w:i/>
          <w:iCs/>
          <w:szCs w:val="24"/>
          <w:shd w:val="clear" w:color="auto" w:fill="FFFFFF"/>
        </w:rPr>
        <w:t>transfusion-related immunomodulation</w:t>
      </w:r>
      <w:r w:rsidR="006050C3" w:rsidRPr="00942207">
        <w:rPr>
          <w:rFonts w:eastAsia="Arial Unicode MS"/>
          <w:szCs w:val="24"/>
          <w:shd w:val="clear" w:color="auto" w:fill="FFFFFF"/>
        </w:rPr>
        <w:t>)</w:t>
      </w:r>
      <w:r w:rsidR="00B751BD">
        <w:rPr>
          <w:rFonts w:eastAsia="Arial Unicode MS"/>
          <w:szCs w:val="24"/>
          <w:shd w:val="clear" w:color="auto" w:fill="FFFFFF"/>
        </w:rPr>
        <w:t>.</w:t>
      </w:r>
    </w:p>
    <w:p w14:paraId="04C61AB1" w14:textId="77777777" w:rsidR="006050C3" w:rsidRDefault="006050C3" w:rsidP="002E4EFB">
      <w:pPr>
        <w:shd w:val="clear" w:color="auto" w:fill="FFFFFF"/>
        <w:spacing w:after="0" w:line="480" w:lineRule="auto"/>
        <w:jc w:val="both"/>
        <w:rPr>
          <w:rFonts w:eastAsia="Arial Unicode MS"/>
          <w:szCs w:val="24"/>
          <w:lang w:eastAsia="es-AR"/>
        </w:rPr>
      </w:pPr>
      <w:r w:rsidRPr="00942207">
        <w:rPr>
          <w:rFonts w:eastAsia="Arial Unicode MS"/>
          <w:szCs w:val="24"/>
          <w:lang w:eastAsia="es-AR"/>
        </w:rPr>
        <w:t xml:space="preserve">Respecto a las </w:t>
      </w:r>
      <w:r w:rsidRPr="0021287E">
        <w:rPr>
          <w:rFonts w:eastAsia="Arial Unicode MS"/>
          <w:i/>
          <w:szCs w:val="24"/>
          <w:lang w:eastAsia="es-AR"/>
        </w:rPr>
        <w:t>complicaciones no inmunes</w:t>
      </w:r>
      <w:r w:rsidRPr="00942207">
        <w:rPr>
          <w:rFonts w:eastAsia="Arial Unicode MS"/>
          <w:szCs w:val="24"/>
          <w:lang w:eastAsia="es-AR"/>
        </w:rPr>
        <w:t xml:space="preserve">, </w:t>
      </w:r>
      <w:r>
        <w:rPr>
          <w:rFonts w:eastAsia="Arial Unicode MS"/>
          <w:szCs w:val="24"/>
          <w:lang w:eastAsia="es-AR"/>
        </w:rPr>
        <w:t xml:space="preserve">se </w:t>
      </w:r>
      <w:r w:rsidRPr="00942207">
        <w:rPr>
          <w:rFonts w:eastAsia="Arial Unicode MS"/>
          <w:szCs w:val="24"/>
          <w:lang w:eastAsia="es-AR"/>
        </w:rPr>
        <w:t>destacan el error transfusional, sobrecarga férr</w:t>
      </w:r>
      <w:r w:rsidR="006A7AE7">
        <w:rPr>
          <w:rFonts w:eastAsia="Arial Unicode MS"/>
          <w:szCs w:val="24"/>
          <w:lang w:eastAsia="es-AR"/>
        </w:rPr>
        <w:t>ica, desequilibrios metabólicos,</w:t>
      </w:r>
      <w:r w:rsidR="002870B6">
        <w:rPr>
          <w:rFonts w:eastAsia="Arial Unicode MS"/>
          <w:szCs w:val="24"/>
          <w:lang w:eastAsia="es-AR"/>
        </w:rPr>
        <w:t xml:space="preserve"> sobrecarga circulatoria</w:t>
      </w:r>
      <w:r w:rsidRPr="00942207">
        <w:rPr>
          <w:rFonts w:eastAsia="Arial Unicode MS"/>
          <w:szCs w:val="24"/>
          <w:lang w:eastAsia="es-AR"/>
        </w:rPr>
        <w:t xml:space="preserve"> TACO </w:t>
      </w:r>
      <w:r w:rsidRPr="00942207">
        <w:rPr>
          <w:rFonts w:eastAsia="Arial Unicode MS"/>
          <w:szCs w:val="24"/>
          <w:shd w:val="clear" w:color="auto" w:fill="FFFFFF"/>
        </w:rPr>
        <w:t>(</w:t>
      </w:r>
      <w:r w:rsidRPr="00942207">
        <w:rPr>
          <w:rStyle w:val="elsevierstyleitalic"/>
          <w:rFonts w:eastAsia="Arial Unicode MS"/>
          <w:i/>
          <w:iCs/>
          <w:szCs w:val="24"/>
          <w:shd w:val="clear" w:color="auto" w:fill="FFFFFF"/>
        </w:rPr>
        <w:t>transfusion-associated circulatory overload</w:t>
      </w:r>
      <w:r w:rsidRPr="00942207">
        <w:rPr>
          <w:rFonts w:eastAsia="Arial Unicode MS"/>
          <w:szCs w:val="24"/>
          <w:shd w:val="clear" w:color="auto" w:fill="FFFFFF"/>
        </w:rPr>
        <w:t>)</w:t>
      </w:r>
      <w:r w:rsidRPr="00942207">
        <w:rPr>
          <w:rFonts w:eastAsia="Arial Unicode MS"/>
          <w:szCs w:val="24"/>
          <w:vertAlign w:val="superscript"/>
          <w:lang w:eastAsia="es-AR"/>
        </w:rPr>
        <w:t>46</w:t>
      </w:r>
      <w:r>
        <w:rPr>
          <w:rFonts w:eastAsia="Arial Unicode MS"/>
          <w:szCs w:val="24"/>
          <w:lang w:eastAsia="es-AR"/>
        </w:rPr>
        <w:t>, y</w:t>
      </w:r>
      <w:r w:rsidRPr="00942207">
        <w:rPr>
          <w:rFonts w:eastAsia="Arial Unicode MS"/>
          <w:szCs w:val="24"/>
          <w:shd w:val="clear" w:color="auto" w:fill="FFFFFF"/>
        </w:rPr>
        <w:t xml:space="preserve"> alteraciones de la microcirculación, aunque no siempre es posible individualizar la contribución particular de cada uno de ellos</w:t>
      </w:r>
      <w:r w:rsidRPr="00942207">
        <w:rPr>
          <w:rFonts w:eastAsia="Arial Unicode MS"/>
          <w:szCs w:val="24"/>
          <w:shd w:val="clear" w:color="auto" w:fill="FFFFFF"/>
          <w:vertAlign w:val="superscript"/>
        </w:rPr>
        <w:t>46, 49</w:t>
      </w:r>
      <w:r>
        <w:rPr>
          <w:rFonts w:eastAsia="Arial Unicode MS"/>
          <w:szCs w:val="24"/>
          <w:shd w:val="clear" w:color="auto" w:fill="FFFFFF"/>
        </w:rPr>
        <w:t xml:space="preserve">. </w:t>
      </w:r>
      <w:r>
        <w:rPr>
          <w:rFonts w:eastAsia="Arial Unicode MS"/>
          <w:szCs w:val="24"/>
          <w:lang w:eastAsia="es-AR"/>
        </w:rPr>
        <w:t xml:space="preserve"> </w:t>
      </w:r>
    </w:p>
    <w:p w14:paraId="3EFAAD93" w14:textId="77777777" w:rsidR="002870B6" w:rsidRDefault="002870B6" w:rsidP="002E4EFB">
      <w:pPr>
        <w:shd w:val="clear" w:color="auto" w:fill="FFFFFF"/>
        <w:spacing w:after="0" w:line="480" w:lineRule="auto"/>
        <w:jc w:val="both"/>
        <w:rPr>
          <w:rFonts w:eastAsia="Arial Unicode MS"/>
          <w:szCs w:val="24"/>
          <w:lang w:eastAsia="es-AR"/>
        </w:rPr>
      </w:pPr>
      <w:r w:rsidRPr="00942207">
        <w:rPr>
          <w:rFonts w:eastAsia="Arial Unicode MS"/>
          <w:szCs w:val="24"/>
          <w:shd w:val="clear" w:color="auto" w:fill="FFFFFF"/>
        </w:rPr>
        <w:t>El informe SHOT</w:t>
      </w:r>
      <w:r w:rsidRPr="00942207">
        <w:rPr>
          <w:rFonts w:eastAsia="Arial Unicode MS"/>
          <w:szCs w:val="24"/>
          <w:shd w:val="clear" w:color="auto" w:fill="FFFFFF"/>
          <w:vertAlign w:val="superscript"/>
        </w:rPr>
        <w:t>48</w:t>
      </w:r>
      <w:r w:rsidRPr="00942207">
        <w:rPr>
          <w:rStyle w:val="apple-converted-space"/>
          <w:rFonts w:eastAsia="Arial Unicode MS"/>
          <w:szCs w:val="24"/>
          <w:shd w:val="clear" w:color="auto" w:fill="FFFFFF"/>
        </w:rPr>
        <w:t> </w:t>
      </w:r>
      <w:r w:rsidRPr="00942207">
        <w:rPr>
          <w:rStyle w:val="elsevierstyleitalic"/>
          <w:rFonts w:eastAsia="Arial Unicode MS"/>
          <w:i/>
          <w:iCs/>
          <w:szCs w:val="24"/>
          <w:shd w:val="clear" w:color="auto" w:fill="FFFFFF"/>
        </w:rPr>
        <w:t>(Serious Hazards Of Transfusion)</w:t>
      </w:r>
      <w:r w:rsidR="0077185F">
        <w:rPr>
          <w:rFonts w:eastAsia="Arial Unicode MS"/>
          <w:szCs w:val="24"/>
          <w:shd w:val="clear" w:color="auto" w:fill="FFFFFF"/>
        </w:rPr>
        <w:t>, en su 12° Informe anual</w:t>
      </w:r>
      <w:r w:rsidRPr="00942207">
        <w:rPr>
          <w:rFonts w:eastAsia="Arial Unicode MS"/>
          <w:szCs w:val="24"/>
          <w:shd w:val="clear" w:color="auto" w:fill="FFFFFF"/>
        </w:rPr>
        <w:t>, registró un 45% de eventos (477 casos) relacionados con errores transfusionales, segui</w:t>
      </w:r>
      <w:r w:rsidR="00B77AF3">
        <w:rPr>
          <w:rFonts w:eastAsia="Arial Unicode MS"/>
          <w:szCs w:val="24"/>
          <w:shd w:val="clear" w:color="auto" w:fill="FFFFFF"/>
        </w:rPr>
        <w:t xml:space="preserve">do en orden de frecuencia por </w:t>
      </w:r>
      <w:r w:rsidRPr="00942207">
        <w:rPr>
          <w:rFonts w:eastAsia="Arial Unicode MS"/>
          <w:szCs w:val="24"/>
          <w:shd w:val="clear" w:color="auto" w:fill="FFFFFF"/>
        </w:rPr>
        <w:t xml:space="preserve"> re</w:t>
      </w:r>
      <w:r w:rsidR="006A7AE7">
        <w:rPr>
          <w:rFonts w:eastAsia="Arial Unicode MS"/>
          <w:szCs w:val="24"/>
          <w:shd w:val="clear" w:color="auto" w:fill="FFFFFF"/>
        </w:rPr>
        <w:t>acción alérgica aguda (29%),</w:t>
      </w:r>
      <w:r w:rsidRPr="00942207">
        <w:rPr>
          <w:rFonts w:eastAsia="Arial Unicode MS"/>
          <w:szCs w:val="24"/>
          <w:shd w:val="clear" w:color="auto" w:fill="FFFFFF"/>
        </w:rPr>
        <w:t xml:space="preserve"> eventos relacionados con Ig anti-D (13%) y las reacciones hemolíticas (5%). La tasa de errores transfusionales se situaría en torno a 16,8 por 100.000 componentes, con una incidencia de transfusión ABO incompatible en torno a 1:40.000</w:t>
      </w:r>
      <w:r w:rsidRPr="00942207">
        <w:rPr>
          <w:szCs w:val="24"/>
        </w:rPr>
        <w:t>.</w:t>
      </w:r>
      <w:r>
        <w:rPr>
          <w:szCs w:val="24"/>
        </w:rPr>
        <w:t xml:space="preserve"> </w:t>
      </w:r>
      <w:r w:rsidRPr="00942207">
        <w:rPr>
          <w:rFonts w:eastAsia="Arial Unicode MS"/>
          <w:szCs w:val="24"/>
          <w:shd w:val="clear" w:color="auto" w:fill="FFFFFF"/>
        </w:rPr>
        <w:t>Las reacciones alérgicas postransfusional poseen una prevalencia extremadamente variable (1–3% en formas urticariformes y 1:20.000–50.000 en las formas anafilactoides), con un amplio rango de síntomas y signos</w:t>
      </w:r>
      <w:r w:rsidRPr="00942207">
        <w:rPr>
          <w:rFonts w:eastAsia="Arial Unicode MS"/>
          <w:szCs w:val="24"/>
          <w:shd w:val="clear" w:color="auto" w:fill="FFFFFF"/>
          <w:vertAlign w:val="superscript"/>
        </w:rPr>
        <w:t xml:space="preserve">45, </w:t>
      </w:r>
      <w:r>
        <w:rPr>
          <w:rFonts w:eastAsia="Arial Unicode MS"/>
          <w:szCs w:val="24"/>
          <w:vertAlign w:val="superscript"/>
          <w:lang w:eastAsia="es-AR"/>
        </w:rPr>
        <w:t>46</w:t>
      </w:r>
    </w:p>
    <w:p w14:paraId="31E1BFDD" w14:textId="77777777" w:rsidR="006050C3" w:rsidRPr="008E5DD7" w:rsidRDefault="006050C3" w:rsidP="002E4EFB">
      <w:pPr>
        <w:pStyle w:val="Ttulo3"/>
        <w:spacing w:line="480" w:lineRule="auto"/>
        <w:rPr>
          <w:rFonts w:ascii="Times New Roman" w:eastAsia="Arial Unicode MS" w:hAnsi="Times New Roman" w:cs="Times New Roman"/>
          <w:color w:val="auto"/>
          <w:shd w:val="clear" w:color="auto" w:fill="FFFFFF"/>
        </w:rPr>
      </w:pPr>
      <w:bookmarkStart w:id="19" w:name="_Toc431407923"/>
      <w:r w:rsidRPr="008E5DD7">
        <w:rPr>
          <w:rFonts w:ascii="Times New Roman" w:eastAsia="Arial Unicode MS" w:hAnsi="Times New Roman" w:cs="Times New Roman"/>
          <w:color w:val="auto"/>
          <w:shd w:val="clear" w:color="auto" w:fill="FFFFFF"/>
        </w:rPr>
        <w:t>Sobrecarga circulatoria</w:t>
      </w:r>
      <w:r w:rsidR="00EA512B">
        <w:rPr>
          <w:rFonts w:ascii="Times New Roman" w:eastAsia="Arial Unicode MS" w:hAnsi="Times New Roman" w:cs="Times New Roman"/>
          <w:color w:val="auto"/>
          <w:shd w:val="clear" w:color="auto" w:fill="FFFFFF"/>
        </w:rPr>
        <w:t xml:space="preserve"> asociada </w:t>
      </w:r>
      <w:r w:rsidR="006A7AE7">
        <w:rPr>
          <w:rFonts w:ascii="Times New Roman" w:eastAsia="Arial Unicode MS" w:hAnsi="Times New Roman" w:cs="Times New Roman"/>
          <w:color w:val="auto"/>
          <w:shd w:val="clear" w:color="auto" w:fill="FFFFFF"/>
        </w:rPr>
        <w:t>a</w:t>
      </w:r>
      <w:r w:rsidR="00EA512B">
        <w:rPr>
          <w:rFonts w:ascii="Times New Roman" w:eastAsia="Arial Unicode MS" w:hAnsi="Times New Roman" w:cs="Times New Roman"/>
          <w:color w:val="auto"/>
          <w:shd w:val="clear" w:color="auto" w:fill="FFFFFF"/>
        </w:rPr>
        <w:t xml:space="preserve"> transfusiones </w:t>
      </w:r>
      <w:r w:rsidRPr="008E5DD7">
        <w:rPr>
          <w:rFonts w:ascii="Times New Roman" w:eastAsia="Arial Unicode MS" w:hAnsi="Times New Roman" w:cs="Times New Roman"/>
          <w:color w:val="auto"/>
          <w:shd w:val="clear" w:color="auto" w:fill="FFFFFF"/>
        </w:rPr>
        <w:t>(TACO)</w:t>
      </w:r>
      <w:bookmarkEnd w:id="19"/>
    </w:p>
    <w:p w14:paraId="3C8A447F" w14:textId="77777777" w:rsidR="006050C3" w:rsidRDefault="00F97FC3" w:rsidP="002E4EFB">
      <w:pPr>
        <w:shd w:val="clear" w:color="auto" w:fill="FFFFFF"/>
        <w:spacing w:after="0" w:line="480" w:lineRule="auto"/>
        <w:jc w:val="both"/>
        <w:rPr>
          <w:rFonts w:eastAsia="Arial Unicode MS"/>
          <w:szCs w:val="24"/>
          <w:shd w:val="clear" w:color="auto" w:fill="FFFFFF"/>
        </w:rPr>
      </w:pPr>
      <w:r>
        <w:rPr>
          <w:rFonts w:eastAsia="Arial Unicode MS"/>
          <w:szCs w:val="24"/>
          <w:shd w:val="clear" w:color="auto" w:fill="FFFFFF"/>
        </w:rPr>
        <w:t>E</w:t>
      </w:r>
      <w:r w:rsidR="006050C3" w:rsidRPr="00076E7C">
        <w:rPr>
          <w:rFonts w:eastAsia="Arial Unicode MS"/>
          <w:szCs w:val="24"/>
          <w:shd w:val="clear" w:color="auto" w:fill="FFFFFF"/>
        </w:rPr>
        <w:t>s secundaria a una alteración del gradiente hidrostático alveolocapilar por sobrecarga de volumen, con una incidencia estimada del 1–11%, resultando es</w:t>
      </w:r>
      <w:r w:rsidR="00DA0DC4">
        <w:rPr>
          <w:rFonts w:eastAsia="Arial Unicode MS"/>
          <w:szCs w:val="24"/>
          <w:shd w:val="clear" w:color="auto" w:fill="FFFFFF"/>
        </w:rPr>
        <w:t xml:space="preserve">pecialmente vulnerables </w:t>
      </w:r>
      <w:r w:rsidR="006050C3" w:rsidRPr="00076E7C">
        <w:rPr>
          <w:rFonts w:eastAsia="Arial Unicode MS"/>
          <w:szCs w:val="24"/>
          <w:shd w:val="clear" w:color="auto" w:fill="FFFFFF"/>
        </w:rPr>
        <w:t xml:space="preserve"> pacientes con patología cardiopulmonar, insuficiencia renal y niños</w:t>
      </w:r>
      <w:r w:rsidR="006050C3" w:rsidRPr="00076E7C">
        <w:rPr>
          <w:rFonts w:eastAsia="Arial Unicode MS"/>
          <w:szCs w:val="24"/>
          <w:shd w:val="clear" w:color="auto" w:fill="FFFFFF"/>
          <w:vertAlign w:val="superscript"/>
        </w:rPr>
        <w:t>46</w:t>
      </w:r>
      <w:r w:rsidR="006050C3">
        <w:rPr>
          <w:rFonts w:eastAsia="Arial Unicode MS"/>
          <w:szCs w:val="24"/>
          <w:shd w:val="clear" w:color="auto" w:fill="FFFFFF"/>
        </w:rPr>
        <w:t>.</w:t>
      </w:r>
      <w:r w:rsidR="006050C3" w:rsidRPr="00076E7C">
        <w:rPr>
          <w:rFonts w:eastAsia="Arial Unicode MS"/>
          <w:szCs w:val="24"/>
          <w:shd w:val="clear" w:color="auto" w:fill="FFFFFF"/>
        </w:rPr>
        <w:t xml:space="preserve"> </w:t>
      </w:r>
    </w:p>
    <w:p w14:paraId="1F72935B" w14:textId="77777777" w:rsidR="006050C3" w:rsidRPr="00547D5E" w:rsidRDefault="006050C3" w:rsidP="002E4EFB">
      <w:pPr>
        <w:shd w:val="clear" w:color="auto" w:fill="FFFFFF"/>
        <w:spacing w:after="0" w:line="480" w:lineRule="auto"/>
        <w:jc w:val="both"/>
        <w:rPr>
          <w:rFonts w:eastAsia="Arial Unicode MS"/>
          <w:szCs w:val="24"/>
          <w:shd w:val="clear" w:color="auto" w:fill="FFFFFF"/>
        </w:rPr>
      </w:pPr>
      <w:r>
        <w:rPr>
          <w:rFonts w:eastAsia="Arial Unicode MS"/>
          <w:szCs w:val="24"/>
          <w:shd w:val="clear" w:color="auto" w:fill="FFFFFF"/>
        </w:rPr>
        <w:lastRenderedPageBreak/>
        <w:t xml:space="preserve">Criterios </w:t>
      </w:r>
      <w:r w:rsidR="002E3AA2">
        <w:rPr>
          <w:rFonts w:eastAsia="Arial Unicode MS"/>
          <w:szCs w:val="24"/>
          <w:shd w:val="clear" w:color="auto" w:fill="FFFFFF"/>
        </w:rPr>
        <w:t>diagnósticos</w:t>
      </w:r>
      <w:r>
        <w:rPr>
          <w:rFonts w:eastAsia="Arial Unicode MS"/>
          <w:szCs w:val="24"/>
          <w:shd w:val="clear" w:color="auto" w:fill="FFFFFF"/>
        </w:rPr>
        <w:t xml:space="preserve"> según la </w:t>
      </w:r>
      <w:r w:rsidRPr="00995781">
        <w:rPr>
          <w:rFonts w:eastAsia="Arial Unicode MS"/>
          <w:i/>
          <w:szCs w:val="24"/>
          <w:shd w:val="clear" w:color="auto" w:fill="FFFFFF"/>
        </w:rPr>
        <w:t>National Healthcare Safety Network</w:t>
      </w:r>
      <w:r>
        <w:rPr>
          <w:rFonts w:eastAsia="Arial Unicode MS"/>
          <w:szCs w:val="24"/>
          <w:shd w:val="clear" w:color="auto" w:fill="FFFFFF"/>
        </w:rPr>
        <w:t>:</w:t>
      </w:r>
      <w:r w:rsidR="00547D5E">
        <w:rPr>
          <w:rFonts w:eastAsia="Arial Unicode MS"/>
          <w:szCs w:val="24"/>
          <w:shd w:val="clear" w:color="auto" w:fill="FFFFFF"/>
        </w:rPr>
        <w:t xml:space="preserve"> </w:t>
      </w:r>
      <w:r w:rsidRPr="00547D5E">
        <w:rPr>
          <w:rFonts w:eastAsia="Arial Unicode MS"/>
          <w:szCs w:val="24"/>
          <w:shd w:val="clear" w:color="auto" w:fill="FFFFFF"/>
        </w:rPr>
        <w:t>Nuevo comienzo o exacerbación de más de 3 horas dentro de las 6 horas de la transfusión</w:t>
      </w:r>
      <w:r w:rsidR="00547D5E">
        <w:rPr>
          <w:rFonts w:eastAsia="Arial Unicode MS"/>
          <w:szCs w:val="24"/>
          <w:shd w:val="clear" w:color="auto" w:fill="FFFFFF"/>
        </w:rPr>
        <w:t xml:space="preserve">, </w:t>
      </w:r>
      <w:r w:rsidRPr="00547D5E">
        <w:rPr>
          <w:rFonts w:eastAsia="Arial Unicode MS"/>
          <w:szCs w:val="24"/>
          <w:shd w:val="clear" w:color="auto" w:fill="FFFFFF"/>
        </w:rPr>
        <w:t>SDRA</w:t>
      </w:r>
      <w:r w:rsidR="00547D5E">
        <w:rPr>
          <w:rFonts w:eastAsia="Arial Unicode MS"/>
          <w:szCs w:val="24"/>
          <w:shd w:val="clear" w:color="auto" w:fill="FFFFFF"/>
        </w:rPr>
        <w:t xml:space="preserve">, </w:t>
      </w:r>
      <w:r w:rsidR="00DA0DC4">
        <w:rPr>
          <w:rFonts w:eastAsia="Arial Unicode MS"/>
          <w:szCs w:val="24"/>
          <w:shd w:val="clear" w:color="auto" w:fill="FFFFFF"/>
        </w:rPr>
        <w:t>infiltrados pulmonares</w:t>
      </w:r>
      <w:r w:rsidR="006A7AE7">
        <w:rPr>
          <w:rFonts w:eastAsia="Arial Unicode MS"/>
          <w:szCs w:val="24"/>
          <w:shd w:val="clear" w:color="auto" w:fill="FFFFFF"/>
        </w:rPr>
        <w:t xml:space="preserve"> radiologicos</w:t>
      </w:r>
      <w:r w:rsidR="00EA512B">
        <w:rPr>
          <w:rFonts w:eastAsia="Arial Unicode MS"/>
          <w:szCs w:val="24"/>
          <w:shd w:val="clear" w:color="auto" w:fill="FFFFFF"/>
        </w:rPr>
        <w:t>,</w:t>
      </w:r>
      <w:r w:rsidRPr="00547D5E">
        <w:rPr>
          <w:rFonts w:eastAsia="Arial Unicode MS"/>
          <w:szCs w:val="24"/>
          <w:shd w:val="clear" w:color="auto" w:fill="FFFFFF"/>
        </w:rPr>
        <w:t xml:space="preserve"> </w:t>
      </w:r>
      <w:r w:rsidR="00DA0DC4">
        <w:rPr>
          <w:rFonts w:eastAsia="Arial Unicode MS"/>
          <w:szCs w:val="24"/>
          <w:shd w:val="clear" w:color="auto" w:fill="FFFFFF"/>
        </w:rPr>
        <w:t>insuficiencia cardiaca</w:t>
      </w:r>
      <w:r w:rsidR="00547D5E">
        <w:rPr>
          <w:rFonts w:eastAsia="Arial Unicode MS"/>
          <w:szCs w:val="24"/>
          <w:shd w:val="clear" w:color="auto" w:fill="FFFFFF"/>
        </w:rPr>
        <w:t xml:space="preserve">, </w:t>
      </w:r>
      <w:r w:rsidRPr="00547D5E">
        <w:rPr>
          <w:rFonts w:eastAsia="Arial Unicode MS"/>
          <w:szCs w:val="24"/>
          <w:shd w:val="clear" w:color="auto" w:fill="FFFFFF"/>
        </w:rPr>
        <w:t>PVC elevada</w:t>
      </w:r>
      <w:r w:rsidR="005A55D8">
        <w:rPr>
          <w:rFonts w:eastAsia="Arial Unicode MS"/>
          <w:szCs w:val="24"/>
          <w:shd w:val="clear" w:color="auto" w:fill="FFFFFF"/>
        </w:rPr>
        <w:t>,</w:t>
      </w:r>
      <w:r w:rsidRPr="00547D5E">
        <w:rPr>
          <w:rFonts w:eastAsia="Arial Unicode MS"/>
          <w:szCs w:val="24"/>
          <w:shd w:val="clear" w:color="auto" w:fill="FFFFFF"/>
        </w:rPr>
        <w:t xml:space="preserve"> balance positivo de líquidos</w:t>
      </w:r>
      <w:r w:rsidR="00547D5E">
        <w:rPr>
          <w:rFonts w:eastAsia="Arial Unicode MS"/>
          <w:szCs w:val="24"/>
          <w:shd w:val="clear" w:color="auto" w:fill="FFFFFF"/>
        </w:rPr>
        <w:t>, e</w:t>
      </w:r>
      <w:r w:rsidRPr="00547D5E">
        <w:rPr>
          <w:rFonts w:eastAsia="Arial Unicode MS"/>
          <w:szCs w:val="24"/>
          <w:shd w:val="clear" w:color="auto" w:fill="FFFFFF"/>
        </w:rPr>
        <w:t xml:space="preserve">levación del péptido natriurético B. </w:t>
      </w:r>
    </w:p>
    <w:p w14:paraId="098BCE06" w14:textId="77777777" w:rsidR="006050C3" w:rsidRPr="008E5DD7" w:rsidRDefault="006050C3" w:rsidP="002E4EFB">
      <w:pPr>
        <w:pStyle w:val="Ttulo3"/>
        <w:spacing w:line="480" w:lineRule="auto"/>
        <w:rPr>
          <w:rFonts w:ascii="Times New Roman" w:eastAsia="Arial Unicode MS" w:hAnsi="Times New Roman" w:cs="Times New Roman"/>
          <w:color w:val="auto"/>
          <w:shd w:val="clear" w:color="auto" w:fill="FFFFFF"/>
        </w:rPr>
      </w:pPr>
      <w:bookmarkStart w:id="20" w:name="_Toc431407924"/>
      <w:r w:rsidRPr="008E5DD7">
        <w:rPr>
          <w:rFonts w:ascii="Times New Roman" w:eastAsia="Arial Unicode MS" w:hAnsi="Times New Roman" w:cs="Times New Roman"/>
          <w:color w:val="auto"/>
          <w:shd w:val="clear" w:color="auto" w:fill="FFFFFF"/>
        </w:rPr>
        <w:t>Lesión pulmonar aguda asociada a transfusió</w:t>
      </w:r>
      <w:r w:rsidR="00EA512B">
        <w:rPr>
          <w:rFonts w:ascii="Times New Roman" w:eastAsia="Arial Unicode MS" w:hAnsi="Times New Roman" w:cs="Times New Roman"/>
          <w:color w:val="auto"/>
          <w:shd w:val="clear" w:color="auto" w:fill="FFFFFF"/>
        </w:rPr>
        <w:t>n (TRALI</w:t>
      </w:r>
      <w:r w:rsidRPr="008E5DD7">
        <w:rPr>
          <w:rFonts w:ascii="Times New Roman" w:eastAsia="Arial Unicode MS" w:hAnsi="Times New Roman" w:cs="Times New Roman"/>
          <w:color w:val="auto"/>
          <w:shd w:val="clear" w:color="auto" w:fill="FFFFFF"/>
        </w:rPr>
        <w:t>)</w:t>
      </w:r>
      <w:bookmarkEnd w:id="20"/>
    </w:p>
    <w:p w14:paraId="536B65FD" w14:textId="77777777" w:rsidR="00534A62" w:rsidRDefault="00534A62" w:rsidP="002E4EFB">
      <w:pPr>
        <w:shd w:val="clear" w:color="auto" w:fill="FFFFFF"/>
        <w:spacing w:after="0" w:line="480" w:lineRule="auto"/>
        <w:jc w:val="both"/>
        <w:rPr>
          <w:rFonts w:eastAsia="Arial Unicode MS"/>
          <w:szCs w:val="24"/>
          <w:shd w:val="clear" w:color="auto" w:fill="FFFFFF"/>
        </w:rPr>
      </w:pPr>
      <w:r>
        <w:rPr>
          <w:szCs w:val="24"/>
        </w:rPr>
        <w:t>No</w:t>
      </w:r>
      <w:r w:rsidR="006050C3" w:rsidRPr="001A7AE0">
        <w:rPr>
          <w:szCs w:val="24"/>
        </w:rPr>
        <w:t xml:space="preserve"> se diferencia de otros </w:t>
      </w:r>
      <w:r w:rsidR="00B77AF3">
        <w:rPr>
          <w:szCs w:val="24"/>
        </w:rPr>
        <w:t xml:space="preserve">tipos de distres respiratorios: </w:t>
      </w:r>
      <w:r w:rsidR="006050C3" w:rsidRPr="001A7AE0">
        <w:rPr>
          <w:szCs w:val="24"/>
        </w:rPr>
        <w:t>hipoxemia, presión parcial de oxigeno arterial/fracción ins</w:t>
      </w:r>
      <w:r w:rsidR="00AC42C7">
        <w:rPr>
          <w:szCs w:val="24"/>
        </w:rPr>
        <w:t>pirada de oxigeno (PaO2/FiO2) &lt;</w:t>
      </w:r>
      <w:r w:rsidR="006050C3" w:rsidRPr="001A7AE0">
        <w:rPr>
          <w:szCs w:val="24"/>
        </w:rPr>
        <w:t>300, infiltrado</w:t>
      </w:r>
      <w:r w:rsidR="000A4F4B">
        <w:rPr>
          <w:szCs w:val="24"/>
        </w:rPr>
        <w:t>s</w:t>
      </w:r>
      <w:r w:rsidR="006050C3" w:rsidRPr="001A7AE0">
        <w:rPr>
          <w:szCs w:val="24"/>
        </w:rPr>
        <w:t xml:space="preserve"> pulmon</w:t>
      </w:r>
      <w:r w:rsidR="000A4F4B">
        <w:rPr>
          <w:szCs w:val="24"/>
        </w:rPr>
        <w:t>ares bilaterales, sin evidencia</w:t>
      </w:r>
      <w:r w:rsidR="006050C3" w:rsidRPr="001A7AE0">
        <w:rPr>
          <w:szCs w:val="24"/>
        </w:rPr>
        <w:t xml:space="preserve"> de sobrecarga de volumen</w:t>
      </w:r>
      <w:r w:rsidR="00B147FE">
        <w:rPr>
          <w:szCs w:val="24"/>
        </w:rPr>
        <w:t>, presión capilar pulmonar</w:t>
      </w:r>
      <w:r w:rsidR="00AC42C7">
        <w:rPr>
          <w:szCs w:val="24"/>
        </w:rPr>
        <w:t xml:space="preserve"> &lt;</w:t>
      </w:r>
      <w:r w:rsidR="006050C3" w:rsidRPr="001A7AE0">
        <w:rPr>
          <w:szCs w:val="24"/>
        </w:rPr>
        <w:t>18 mm</w:t>
      </w:r>
      <w:r w:rsidR="006050C3">
        <w:rPr>
          <w:szCs w:val="24"/>
        </w:rPr>
        <w:t>Hg</w:t>
      </w:r>
      <w:r w:rsidR="006050C3" w:rsidRPr="001A7AE0">
        <w:rPr>
          <w:szCs w:val="24"/>
        </w:rPr>
        <w:t xml:space="preserve">, en las 6 horas posteriores a la transfusión de uno o más productos de la </w:t>
      </w:r>
      <w:r w:rsidR="006050C3">
        <w:rPr>
          <w:szCs w:val="24"/>
        </w:rPr>
        <w:t xml:space="preserve">sangre </w:t>
      </w:r>
      <w:r>
        <w:rPr>
          <w:szCs w:val="24"/>
        </w:rPr>
        <w:t>más</w:t>
      </w:r>
      <w:r w:rsidR="006050C3" w:rsidRPr="001A7AE0">
        <w:rPr>
          <w:szCs w:val="24"/>
        </w:rPr>
        <w:t xml:space="preserve"> un factor de riesgo conocido</w:t>
      </w:r>
      <w:r w:rsidR="006050C3" w:rsidRPr="001A7AE0">
        <w:rPr>
          <w:szCs w:val="24"/>
          <w:vertAlign w:val="superscript"/>
        </w:rPr>
        <w:t>50</w:t>
      </w:r>
      <w:r w:rsidR="006050C3">
        <w:rPr>
          <w:szCs w:val="24"/>
          <w:vertAlign w:val="superscript"/>
        </w:rPr>
        <w:t xml:space="preserve"> </w:t>
      </w:r>
      <w:r w:rsidR="006050C3">
        <w:rPr>
          <w:szCs w:val="24"/>
        </w:rPr>
        <w:t>asociado a la transfusión y al paciente.</w:t>
      </w:r>
      <w:r>
        <w:rPr>
          <w:szCs w:val="24"/>
        </w:rPr>
        <w:t xml:space="preserve"> </w:t>
      </w:r>
      <w:r w:rsidR="006050C3" w:rsidRPr="001A7AE0">
        <w:rPr>
          <w:rFonts w:eastAsia="Arial Unicode MS"/>
          <w:szCs w:val="24"/>
          <w:shd w:val="clear" w:color="auto" w:fill="FFFFFF"/>
        </w:rPr>
        <w:t>Frecuente</w:t>
      </w:r>
      <w:r>
        <w:rPr>
          <w:rFonts w:eastAsia="Arial Unicode MS"/>
          <w:szCs w:val="24"/>
          <w:shd w:val="clear" w:color="auto" w:fill="FFFFFF"/>
        </w:rPr>
        <w:t>mente infradiagnosticado</w:t>
      </w:r>
      <w:r w:rsidR="006050C3">
        <w:rPr>
          <w:rFonts w:eastAsia="Arial Unicode MS"/>
          <w:szCs w:val="24"/>
          <w:shd w:val="clear" w:color="auto" w:fill="FFFFFF"/>
          <w:vertAlign w:val="superscript"/>
        </w:rPr>
        <w:t>6</w:t>
      </w:r>
      <w:r w:rsidR="006050C3">
        <w:rPr>
          <w:rFonts w:eastAsia="Arial Unicode MS"/>
          <w:szCs w:val="24"/>
          <w:shd w:val="clear" w:color="auto" w:fill="FFFFFF"/>
        </w:rPr>
        <w:t>.</w:t>
      </w:r>
      <w:r w:rsidR="00FD1F89">
        <w:rPr>
          <w:rFonts w:eastAsia="Arial Unicode MS"/>
          <w:szCs w:val="24"/>
          <w:shd w:val="clear" w:color="auto" w:fill="FFFFFF"/>
        </w:rPr>
        <w:t xml:space="preserve"> </w:t>
      </w:r>
    </w:p>
    <w:p w14:paraId="5A348263" w14:textId="77777777" w:rsidR="00534A62" w:rsidRDefault="005C4971" w:rsidP="002E4EFB">
      <w:pPr>
        <w:shd w:val="clear" w:color="auto" w:fill="FFFFFF"/>
        <w:spacing w:after="0" w:line="480" w:lineRule="auto"/>
        <w:jc w:val="both"/>
        <w:rPr>
          <w:rFonts w:eastAsia="Arial Unicode MS"/>
          <w:szCs w:val="24"/>
          <w:shd w:val="clear" w:color="auto" w:fill="FFFFFF"/>
        </w:rPr>
      </w:pPr>
      <w:r>
        <w:rPr>
          <w:rFonts w:eastAsia="Arial Unicode MS"/>
          <w:i/>
          <w:color w:val="auto"/>
          <w:shd w:val="clear" w:color="auto" w:fill="FFFFFF"/>
        </w:rPr>
        <w:t>Factores relacionados a</w:t>
      </w:r>
      <w:r w:rsidR="006050C3" w:rsidRPr="00FD1F89">
        <w:rPr>
          <w:rFonts w:eastAsia="Arial Unicode MS"/>
          <w:i/>
          <w:color w:val="auto"/>
          <w:shd w:val="clear" w:color="auto" w:fill="FFFFFF"/>
        </w:rPr>
        <w:t xml:space="preserve"> la transfusión</w:t>
      </w:r>
      <w:r w:rsidR="00FD1F89">
        <w:rPr>
          <w:rFonts w:eastAsia="Arial Unicode MS"/>
          <w:i/>
          <w:color w:val="auto"/>
          <w:shd w:val="clear" w:color="auto" w:fill="FFFFFF"/>
        </w:rPr>
        <w:t>:</w:t>
      </w:r>
      <w:r w:rsidR="006050C3" w:rsidRPr="001A7AE0">
        <w:rPr>
          <w:szCs w:val="24"/>
          <w:shd w:val="clear" w:color="auto" w:fill="FFFFFF"/>
        </w:rPr>
        <w:t xml:space="preserve"> hay</w:t>
      </w:r>
      <w:r w:rsidR="0050074D">
        <w:rPr>
          <w:szCs w:val="24"/>
          <w:shd w:val="clear" w:color="auto" w:fill="FFFFFF"/>
        </w:rPr>
        <w:t xml:space="preserve"> fuertes predictores de riesgo</w:t>
      </w:r>
      <w:r w:rsidR="006050C3" w:rsidRPr="001A7AE0">
        <w:rPr>
          <w:szCs w:val="24"/>
          <w:shd w:val="clear" w:color="auto" w:fill="FFFFFF"/>
        </w:rPr>
        <w:t xml:space="preserve">: </w:t>
      </w:r>
      <w:r w:rsidR="006050C3" w:rsidRPr="001A7AE0">
        <w:rPr>
          <w:rFonts w:eastAsia="Arial Unicode MS"/>
          <w:szCs w:val="24"/>
          <w:shd w:val="clear" w:color="auto" w:fill="FFFFFF"/>
        </w:rPr>
        <w:t>anticuerpos antiHLA, antigranulocitos, lípidos reactivos y citocinas del dona</w:t>
      </w:r>
      <w:r w:rsidR="00C87C5F">
        <w:rPr>
          <w:rFonts w:eastAsia="Arial Unicode MS"/>
          <w:szCs w:val="24"/>
          <w:shd w:val="clear" w:color="auto" w:fill="FFFFFF"/>
        </w:rPr>
        <w:t>nte (especialmente</w:t>
      </w:r>
      <w:r w:rsidR="006050C3" w:rsidRPr="001A7AE0">
        <w:rPr>
          <w:rFonts w:eastAsia="Arial Unicode MS"/>
          <w:szCs w:val="24"/>
          <w:shd w:val="clear" w:color="auto" w:fill="FFFFFF"/>
        </w:rPr>
        <w:t xml:space="preserve"> plasma </w:t>
      </w:r>
      <w:r w:rsidR="000A4F4B">
        <w:rPr>
          <w:rFonts w:eastAsia="Arial Unicode MS"/>
          <w:szCs w:val="24"/>
          <w:shd w:val="clear" w:color="auto" w:fill="FFFFFF"/>
        </w:rPr>
        <w:t>de donante femenina</w:t>
      </w:r>
      <w:r w:rsidR="006050C3" w:rsidRPr="001A7AE0">
        <w:rPr>
          <w:rFonts w:eastAsia="Arial Unicode MS"/>
          <w:szCs w:val="24"/>
          <w:shd w:val="clear" w:color="auto" w:fill="FFFFFF"/>
        </w:rPr>
        <w:t>, o sangre entera) frente antígenos de leucoc</w:t>
      </w:r>
      <w:r w:rsidR="0050074D">
        <w:rPr>
          <w:rFonts w:eastAsia="Arial Unicode MS"/>
          <w:szCs w:val="24"/>
          <w:shd w:val="clear" w:color="auto" w:fill="FFFFFF"/>
        </w:rPr>
        <w:t>itos del receptor,</w:t>
      </w:r>
      <w:r w:rsidR="006050C3" w:rsidRPr="001A7AE0">
        <w:rPr>
          <w:rFonts w:eastAsia="Arial Unicode MS"/>
          <w:szCs w:val="24"/>
          <w:shd w:val="clear" w:color="auto" w:fill="FFFFFF"/>
        </w:rPr>
        <w:t xml:space="preserve"> estimulando la liberación de oxidasas, mediadores inflamatorios y complemento, alteran</w:t>
      </w:r>
      <w:r>
        <w:rPr>
          <w:rFonts w:eastAsia="Arial Unicode MS"/>
          <w:szCs w:val="24"/>
          <w:shd w:val="clear" w:color="auto" w:fill="FFFFFF"/>
        </w:rPr>
        <w:t>do la permeabilidad</w:t>
      </w:r>
      <w:r w:rsidR="006050C3" w:rsidRPr="001A7AE0">
        <w:rPr>
          <w:rFonts w:eastAsia="Arial Unicode MS"/>
          <w:szCs w:val="24"/>
          <w:shd w:val="clear" w:color="auto" w:fill="FFFFFF"/>
        </w:rPr>
        <w:t xml:space="preserve"> de la microcirculacion pulmonar</w:t>
      </w:r>
      <w:r w:rsidR="006050C3" w:rsidRPr="001A7AE0">
        <w:rPr>
          <w:rFonts w:eastAsia="Arial Unicode MS"/>
          <w:szCs w:val="24"/>
          <w:shd w:val="clear" w:color="auto" w:fill="FFFFFF"/>
          <w:vertAlign w:val="superscript"/>
        </w:rPr>
        <w:t>45,</w:t>
      </w:r>
      <w:r w:rsidR="006050C3">
        <w:rPr>
          <w:rFonts w:eastAsia="Arial Unicode MS"/>
          <w:szCs w:val="24"/>
          <w:vertAlign w:val="superscript"/>
          <w:lang w:eastAsia="es-AR"/>
        </w:rPr>
        <w:t>47,</w:t>
      </w:r>
      <w:r w:rsidR="006050C3" w:rsidRPr="001A7AE0">
        <w:rPr>
          <w:rFonts w:eastAsia="Arial Unicode MS"/>
          <w:szCs w:val="24"/>
          <w:vertAlign w:val="superscript"/>
          <w:lang w:eastAsia="es-AR"/>
        </w:rPr>
        <w:t>50</w:t>
      </w:r>
      <w:r w:rsidR="006050C3">
        <w:rPr>
          <w:rFonts w:eastAsia="Arial Unicode MS"/>
          <w:szCs w:val="24"/>
          <w:lang w:eastAsia="es-AR"/>
        </w:rPr>
        <w:t xml:space="preserve">. </w:t>
      </w:r>
      <w:r w:rsidR="006050C3" w:rsidRPr="00B1479B">
        <w:rPr>
          <w:rFonts w:eastAsia="Arial Unicode MS"/>
          <w:szCs w:val="24"/>
          <w:shd w:val="clear" w:color="auto" w:fill="FFFFFF"/>
        </w:rPr>
        <w:t>Su incidencia se estima en 1:4.000–1:8.000 transfusiones, con una mortalidad del 5–25%</w:t>
      </w:r>
      <w:r w:rsidR="00AC42C7">
        <w:rPr>
          <w:rFonts w:eastAsia="Arial Unicode MS"/>
          <w:szCs w:val="24"/>
          <w:shd w:val="clear" w:color="auto" w:fill="FFFFFF"/>
          <w:vertAlign w:val="superscript"/>
        </w:rPr>
        <w:t>45,</w:t>
      </w:r>
      <w:r w:rsidR="006050C3" w:rsidRPr="00B1479B">
        <w:rPr>
          <w:rFonts w:eastAsia="Arial Unicode MS"/>
          <w:szCs w:val="24"/>
          <w:shd w:val="clear" w:color="auto" w:fill="FFFFFF"/>
          <w:vertAlign w:val="superscript"/>
        </w:rPr>
        <w:t>47.</w:t>
      </w:r>
      <w:r w:rsidR="006050C3" w:rsidRPr="00B1479B">
        <w:rPr>
          <w:rFonts w:eastAsia="Arial Unicode MS"/>
          <w:szCs w:val="24"/>
          <w:shd w:val="clear" w:color="auto" w:fill="FFFFFF"/>
        </w:rPr>
        <w:t xml:space="preserve"> </w:t>
      </w:r>
      <w:r w:rsidR="00AC42C7">
        <w:rPr>
          <w:rFonts w:eastAsia="Arial Unicode MS"/>
          <w:szCs w:val="24"/>
          <w:shd w:val="clear" w:color="auto" w:fill="FFFFFF"/>
        </w:rPr>
        <w:t>Ocurre</w:t>
      </w:r>
      <w:r w:rsidR="006050C3" w:rsidRPr="00B1479B">
        <w:rPr>
          <w:rFonts w:eastAsia="Arial Unicode MS"/>
          <w:szCs w:val="24"/>
          <w:shd w:val="clear" w:color="auto" w:fill="FFFFFF"/>
        </w:rPr>
        <w:t xml:space="preserve"> hasta </w:t>
      </w:r>
      <w:r w:rsidR="00534A62">
        <w:rPr>
          <w:rFonts w:eastAsia="Arial Unicode MS"/>
          <w:szCs w:val="24"/>
          <w:shd w:val="clear" w:color="auto" w:fill="FFFFFF"/>
        </w:rPr>
        <w:t xml:space="preserve">en </w:t>
      </w:r>
      <w:r w:rsidR="006050C3" w:rsidRPr="00B1479B">
        <w:rPr>
          <w:rFonts w:eastAsia="Arial Unicode MS"/>
          <w:szCs w:val="24"/>
          <w:shd w:val="clear" w:color="auto" w:fill="FFFFFF"/>
        </w:rPr>
        <w:t>e</w:t>
      </w:r>
      <w:r w:rsidR="00534A62">
        <w:rPr>
          <w:rFonts w:eastAsia="Arial Unicode MS"/>
          <w:szCs w:val="24"/>
          <w:shd w:val="clear" w:color="auto" w:fill="FFFFFF"/>
        </w:rPr>
        <w:t>l 8% de los pacientes críticos</w:t>
      </w:r>
      <w:r w:rsidR="006050C3" w:rsidRPr="00B1479B">
        <w:rPr>
          <w:rFonts w:eastAsia="Arial Unicode MS"/>
          <w:szCs w:val="24"/>
          <w:shd w:val="clear" w:color="auto" w:fill="FFFFFF"/>
        </w:rPr>
        <w:t>, se resuel</w:t>
      </w:r>
      <w:r w:rsidR="00AC42C7">
        <w:rPr>
          <w:rFonts w:eastAsia="Arial Unicode MS"/>
          <w:szCs w:val="24"/>
          <w:shd w:val="clear" w:color="auto" w:fill="FFFFFF"/>
        </w:rPr>
        <w:t>ve dentro de las 96 horas y</w:t>
      </w:r>
      <w:r w:rsidR="006050C3" w:rsidRPr="00B1479B">
        <w:rPr>
          <w:rFonts w:eastAsia="Arial Unicode MS"/>
          <w:szCs w:val="24"/>
          <w:shd w:val="clear" w:color="auto" w:fill="FFFFFF"/>
        </w:rPr>
        <w:t xml:space="preserve"> el 20% presentan hipoxemia refr</w:t>
      </w:r>
      <w:r w:rsidR="006A7AE7">
        <w:rPr>
          <w:rFonts w:eastAsia="Arial Unicode MS"/>
          <w:szCs w:val="24"/>
          <w:shd w:val="clear" w:color="auto" w:fill="FFFFFF"/>
        </w:rPr>
        <w:t>actaria, con mortalidad</w:t>
      </w:r>
      <w:r w:rsidR="006050C3" w:rsidRPr="00B1479B">
        <w:rPr>
          <w:rFonts w:eastAsia="Arial Unicode MS"/>
          <w:szCs w:val="24"/>
          <w:shd w:val="clear" w:color="auto" w:fill="FFFFFF"/>
        </w:rPr>
        <w:t xml:space="preserve"> 6-14%</w:t>
      </w:r>
      <w:r w:rsidR="006050C3" w:rsidRPr="00B1479B">
        <w:rPr>
          <w:rFonts w:eastAsia="Arial Unicode MS"/>
          <w:szCs w:val="24"/>
          <w:shd w:val="clear" w:color="auto" w:fill="FFFFFF"/>
          <w:vertAlign w:val="superscript"/>
        </w:rPr>
        <w:t>50</w:t>
      </w:r>
      <w:r w:rsidR="006050C3" w:rsidRPr="00B1479B">
        <w:rPr>
          <w:rFonts w:eastAsia="Arial Unicode MS"/>
          <w:szCs w:val="24"/>
          <w:shd w:val="clear" w:color="auto" w:fill="FFFFFF"/>
        </w:rPr>
        <w:t>.</w:t>
      </w:r>
      <w:r w:rsidR="00F23359">
        <w:rPr>
          <w:rFonts w:eastAsia="Arial Unicode MS"/>
          <w:szCs w:val="24"/>
          <w:shd w:val="clear" w:color="auto" w:fill="FFFFFF"/>
        </w:rPr>
        <w:t xml:space="preserve">  </w:t>
      </w:r>
    </w:p>
    <w:p w14:paraId="2B7AE3E3" w14:textId="77777777" w:rsidR="002C5F8B" w:rsidRPr="00534A62" w:rsidRDefault="00AC42C7" w:rsidP="002E4EFB">
      <w:pPr>
        <w:shd w:val="clear" w:color="auto" w:fill="FFFFFF"/>
        <w:spacing w:after="0" w:line="480" w:lineRule="auto"/>
        <w:jc w:val="both"/>
        <w:rPr>
          <w:rFonts w:eastAsia="Arial Unicode MS"/>
          <w:szCs w:val="24"/>
          <w:shd w:val="clear" w:color="auto" w:fill="FFFFFF"/>
        </w:rPr>
      </w:pPr>
      <w:r>
        <w:rPr>
          <w:i/>
          <w:color w:val="auto"/>
        </w:rPr>
        <w:t>F</w:t>
      </w:r>
      <w:r w:rsidR="006050C3" w:rsidRPr="00F23359">
        <w:rPr>
          <w:i/>
          <w:color w:val="auto"/>
        </w:rPr>
        <w:t xml:space="preserve">actores de riesgo del </w:t>
      </w:r>
      <w:r w:rsidR="00FE00BB" w:rsidRPr="00F23359">
        <w:rPr>
          <w:i/>
          <w:color w:val="auto"/>
        </w:rPr>
        <w:t>paciente:</w:t>
      </w:r>
      <w:r w:rsidR="006050C3" w:rsidRPr="00F23359">
        <w:rPr>
          <w:rStyle w:val="apple-converted-space"/>
        </w:rPr>
        <w:t> </w:t>
      </w:r>
      <w:r w:rsidR="00DF0144">
        <w:rPr>
          <w:color w:val="auto"/>
          <w:szCs w:val="24"/>
        </w:rPr>
        <w:t>m</w:t>
      </w:r>
      <w:r w:rsidR="006050C3" w:rsidRPr="00F23359">
        <w:rPr>
          <w:color w:val="auto"/>
          <w:szCs w:val="24"/>
        </w:rPr>
        <w:t>ayor nivel de IL-8</w:t>
      </w:r>
      <w:r w:rsidR="00547D5E" w:rsidRPr="00F23359">
        <w:rPr>
          <w:color w:val="auto"/>
          <w:szCs w:val="24"/>
        </w:rPr>
        <w:t>,</w:t>
      </w:r>
      <w:r w:rsidR="006050C3" w:rsidRPr="00F23359">
        <w:rPr>
          <w:color w:val="auto"/>
          <w:szCs w:val="24"/>
        </w:rPr>
        <w:t xml:space="preserve"> </w:t>
      </w:r>
      <w:r w:rsidR="00DF0144">
        <w:rPr>
          <w:color w:val="auto"/>
          <w:szCs w:val="24"/>
        </w:rPr>
        <w:t>s</w:t>
      </w:r>
      <w:r w:rsidR="00FE00BB" w:rsidRPr="00F23359">
        <w:rPr>
          <w:color w:val="auto"/>
          <w:szCs w:val="24"/>
        </w:rPr>
        <w:t>hock,</w:t>
      </w:r>
      <w:r w:rsidR="00547D5E" w:rsidRPr="00F23359">
        <w:rPr>
          <w:color w:val="auto"/>
          <w:szCs w:val="24"/>
        </w:rPr>
        <w:t xml:space="preserve"> c</w:t>
      </w:r>
      <w:r w:rsidR="006050C3" w:rsidRPr="00F23359">
        <w:rPr>
          <w:color w:val="auto"/>
          <w:szCs w:val="24"/>
        </w:rPr>
        <w:t>irugía hepática (principalmente trasplante)</w:t>
      </w:r>
      <w:r w:rsidR="00547D5E" w:rsidRPr="00F23359">
        <w:rPr>
          <w:color w:val="auto"/>
          <w:szCs w:val="24"/>
        </w:rPr>
        <w:t>, a</w:t>
      </w:r>
      <w:r w:rsidR="006050C3" w:rsidRPr="00F23359">
        <w:rPr>
          <w:color w:val="auto"/>
          <w:szCs w:val="24"/>
        </w:rPr>
        <w:t>buso crónico de alcohol</w:t>
      </w:r>
      <w:r w:rsidR="00547D5E" w:rsidRPr="00F23359">
        <w:rPr>
          <w:color w:val="auto"/>
          <w:szCs w:val="24"/>
        </w:rPr>
        <w:t xml:space="preserve">, </w:t>
      </w:r>
      <w:r w:rsidR="006050C3" w:rsidRPr="00F23359">
        <w:rPr>
          <w:color w:val="auto"/>
          <w:szCs w:val="24"/>
        </w:rPr>
        <w:t>balance de líquidos positivo</w:t>
      </w:r>
      <w:r w:rsidR="00547D5E" w:rsidRPr="00F23359">
        <w:rPr>
          <w:color w:val="auto"/>
          <w:szCs w:val="24"/>
        </w:rPr>
        <w:t xml:space="preserve">, </w:t>
      </w:r>
      <w:r w:rsidR="006050C3" w:rsidRPr="00F23359">
        <w:rPr>
          <w:color w:val="auto"/>
          <w:szCs w:val="24"/>
        </w:rPr>
        <w:t xml:space="preserve">presión </w:t>
      </w:r>
      <w:r w:rsidR="00DF0144" w:rsidRPr="00F23359">
        <w:rPr>
          <w:color w:val="auto"/>
          <w:szCs w:val="24"/>
        </w:rPr>
        <w:t xml:space="preserve">pico </w:t>
      </w:r>
      <w:r w:rsidR="006050C3" w:rsidRPr="00F23359">
        <w:rPr>
          <w:color w:val="auto"/>
          <w:szCs w:val="24"/>
        </w:rPr>
        <w:t xml:space="preserve">de la </w:t>
      </w:r>
      <w:r w:rsidR="00547D5E" w:rsidRPr="00F23359">
        <w:rPr>
          <w:color w:val="auto"/>
          <w:szCs w:val="24"/>
        </w:rPr>
        <w:t xml:space="preserve">vía aérea </w:t>
      </w:r>
      <w:r w:rsidR="00DF0144">
        <w:rPr>
          <w:color w:val="auto"/>
          <w:szCs w:val="24"/>
        </w:rPr>
        <w:t>&gt;</w:t>
      </w:r>
      <w:r w:rsidR="00547D5E" w:rsidRPr="00F23359">
        <w:rPr>
          <w:color w:val="auto"/>
          <w:szCs w:val="24"/>
        </w:rPr>
        <w:t>30 cm</w:t>
      </w:r>
      <w:r w:rsidR="006050C3" w:rsidRPr="00F23359">
        <w:rPr>
          <w:color w:val="auto"/>
          <w:szCs w:val="24"/>
        </w:rPr>
        <w:t>H</w:t>
      </w:r>
      <w:r w:rsidR="006050C3" w:rsidRPr="00F23359">
        <w:rPr>
          <w:color w:val="auto"/>
          <w:szCs w:val="24"/>
          <w:vertAlign w:val="subscript"/>
        </w:rPr>
        <w:t>2</w:t>
      </w:r>
      <w:r w:rsidR="00FE00BB" w:rsidRPr="00F23359">
        <w:rPr>
          <w:color w:val="auto"/>
          <w:szCs w:val="24"/>
        </w:rPr>
        <w:t>O</w:t>
      </w:r>
      <w:r w:rsidR="006050C3" w:rsidRPr="00F23359">
        <w:rPr>
          <w:color w:val="auto"/>
          <w:szCs w:val="24"/>
        </w:rPr>
        <w:t xml:space="preserve"> antes de</w:t>
      </w:r>
      <w:r w:rsidR="00547D5E" w:rsidRPr="00F23359">
        <w:rPr>
          <w:color w:val="auto"/>
          <w:szCs w:val="24"/>
        </w:rPr>
        <w:t xml:space="preserve"> </w:t>
      </w:r>
      <w:r w:rsidR="006050C3" w:rsidRPr="00F23359">
        <w:rPr>
          <w:color w:val="auto"/>
          <w:szCs w:val="24"/>
        </w:rPr>
        <w:t>la transfusión</w:t>
      </w:r>
      <w:r w:rsidR="00547D5E" w:rsidRPr="00F23359">
        <w:rPr>
          <w:color w:val="auto"/>
          <w:szCs w:val="24"/>
        </w:rPr>
        <w:t xml:space="preserve">, </w:t>
      </w:r>
      <w:r w:rsidR="002E3AA2">
        <w:rPr>
          <w:color w:val="auto"/>
          <w:szCs w:val="24"/>
        </w:rPr>
        <w:t>f</w:t>
      </w:r>
      <w:r w:rsidR="00DF0144">
        <w:rPr>
          <w:color w:val="auto"/>
          <w:szCs w:val="24"/>
        </w:rPr>
        <w:t>umador</w:t>
      </w:r>
      <w:r w:rsidR="00C87C5F" w:rsidRPr="00F23359">
        <w:rPr>
          <w:color w:val="auto"/>
          <w:vertAlign w:val="superscript"/>
        </w:rPr>
        <w:t>50</w:t>
      </w:r>
    </w:p>
    <w:p w14:paraId="24853FBA" w14:textId="77777777" w:rsidR="006050C3" w:rsidRPr="002C5F8B" w:rsidRDefault="006050C3" w:rsidP="002E4EFB">
      <w:pPr>
        <w:shd w:val="clear" w:color="auto" w:fill="FFFFFF"/>
        <w:spacing w:after="0" w:line="480" w:lineRule="auto"/>
        <w:jc w:val="both"/>
        <w:rPr>
          <w:rFonts w:eastAsia="Arial Unicode MS"/>
          <w:szCs w:val="24"/>
          <w:shd w:val="clear" w:color="auto" w:fill="FFFFFF"/>
        </w:rPr>
      </w:pPr>
      <w:r w:rsidRPr="002C5F8B">
        <w:rPr>
          <w:i/>
          <w:color w:val="auto"/>
        </w:rPr>
        <w:t>Manifestaciones clínicas y diagnostico</w:t>
      </w:r>
    </w:p>
    <w:p w14:paraId="26EA8841" w14:textId="77777777" w:rsidR="006050C3" w:rsidRDefault="006050C3" w:rsidP="002E4EFB">
      <w:pPr>
        <w:spacing w:after="0" w:line="480" w:lineRule="auto"/>
        <w:jc w:val="both"/>
        <w:rPr>
          <w:shd w:val="clear" w:color="auto" w:fill="FFFFFF"/>
        </w:rPr>
      </w:pPr>
      <w:r w:rsidRPr="003A53CB">
        <w:rPr>
          <w:rFonts w:eastAsia="Arial Unicode MS"/>
          <w:szCs w:val="24"/>
          <w:shd w:val="clear" w:color="auto" w:fill="FFFFFF"/>
        </w:rPr>
        <w:t>Se caracteriza por edema</w:t>
      </w:r>
      <w:r w:rsidR="0009430B">
        <w:rPr>
          <w:rFonts w:eastAsia="Arial Unicode MS"/>
          <w:szCs w:val="24"/>
          <w:shd w:val="clear" w:color="auto" w:fill="FFFFFF"/>
        </w:rPr>
        <w:t xml:space="preserve"> agudo</w:t>
      </w:r>
      <w:r w:rsidRPr="003A53CB">
        <w:rPr>
          <w:rFonts w:eastAsia="Arial Unicode MS"/>
          <w:szCs w:val="24"/>
          <w:shd w:val="clear" w:color="auto" w:fill="FFFFFF"/>
        </w:rPr>
        <w:t xml:space="preserve"> pulmonar no cardiogénico</w:t>
      </w:r>
      <w:r>
        <w:rPr>
          <w:rFonts w:eastAsia="Arial Unicode MS"/>
          <w:szCs w:val="24"/>
          <w:shd w:val="clear" w:color="auto" w:fill="FFFFFF"/>
        </w:rPr>
        <w:t xml:space="preserve"> </w:t>
      </w:r>
      <w:r w:rsidR="0009430B">
        <w:rPr>
          <w:rFonts w:eastAsia="Arial Unicode MS"/>
          <w:szCs w:val="24"/>
          <w:shd w:val="clear" w:color="auto" w:fill="FFFFFF"/>
        </w:rPr>
        <w:t>con manifestación radiologica</w:t>
      </w:r>
      <w:r w:rsidRPr="003A53CB">
        <w:rPr>
          <w:rFonts w:eastAsia="Arial Unicode MS"/>
          <w:szCs w:val="24"/>
          <w:shd w:val="clear" w:color="auto" w:fill="FFFFFF"/>
        </w:rPr>
        <w:t>, hipoxemia, disnea, ta</w:t>
      </w:r>
      <w:r w:rsidR="0009430B">
        <w:rPr>
          <w:rFonts w:eastAsia="Arial Unicode MS"/>
          <w:szCs w:val="24"/>
          <w:shd w:val="clear" w:color="auto" w:fill="FFFFFF"/>
        </w:rPr>
        <w:t>quipnea, cianosis, hipotensión,</w:t>
      </w:r>
      <w:r w:rsidRPr="003A53CB">
        <w:rPr>
          <w:rFonts w:eastAsia="Arial Unicode MS"/>
          <w:szCs w:val="24"/>
          <w:shd w:val="clear" w:color="auto" w:fill="FFFFFF"/>
        </w:rPr>
        <w:t xml:space="preserve"> fiebre</w:t>
      </w:r>
      <w:r w:rsidR="0009430B" w:rsidRPr="0009430B">
        <w:rPr>
          <w:shd w:val="clear" w:color="auto" w:fill="FFFFFF"/>
        </w:rPr>
        <w:t xml:space="preserve"> </w:t>
      </w:r>
      <w:r w:rsidR="0009430B">
        <w:rPr>
          <w:shd w:val="clear" w:color="auto" w:fill="FFFFFF"/>
        </w:rPr>
        <w:t>e incluso leucopenia transitoria</w:t>
      </w:r>
      <w:r>
        <w:rPr>
          <w:szCs w:val="24"/>
        </w:rPr>
        <w:t xml:space="preserve">.   </w:t>
      </w:r>
      <w:r w:rsidR="0009430B">
        <w:rPr>
          <w:shd w:val="clear" w:color="auto" w:fill="FFFFFF"/>
        </w:rPr>
        <w:t xml:space="preserve">En </w:t>
      </w:r>
      <w:r>
        <w:rPr>
          <w:shd w:val="clear" w:color="auto" w:fill="FFFFFF"/>
        </w:rPr>
        <w:t xml:space="preserve"> pacientes con ventilación mecánica, </w:t>
      </w:r>
      <w:r w:rsidR="00A62A41">
        <w:rPr>
          <w:shd w:val="clear" w:color="auto" w:fill="FFFFFF"/>
        </w:rPr>
        <w:t xml:space="preserve">puede haber </w:t>
      </w:r>
      <w:r w:rsidR="0009430B">
        <w:rPr>
          <w:shd w:val="clear" w:color="auto" w:fill="FFFFFF"/>
        </w:rPr>
        <w:t>un</w:t>
      </w:r>
      <w:r>
        <w:rPr>
          <w:shd w:val="clear" w:color="auto" w:fill="FFFFFF"/>
        </w:rPr>
        <w:t xml:space="preserve"> inexplicable empeoramiento de la situación respiratoria</w:t>
      </w:r>
      <w:r w:rsidR="00A62A41">
        <w:rPr>
          <w:shd w:val="clear" w:color="auto" w:fill="FFFFFF"/>
        </w:rPr>
        <w:t>. El</w:t>
      </w:r>
      <w:r w:rsidRPr="003A53CB">
        <w:rPr>
          <w:szCs w:val="24"/>
        </w:rPr>
        <w:t xml:space="preserve"> péptido natriurético-B</w:t>
      </w:r>
      <w:r>
        <w:rPr>
          <w:szCs w:val="24"/>
        </w:rPr>
        <w:t xml:space="preserve"> (BNP)</w:t>
      </w:r>
      <w:r w:rsidR="00A62A41">
        <w:rPr>
          <w:szCs w:val="24"/>
        </w:rPr>
        <w:t xml:space="preserve"> puede contribuir al diagnostico diferencial</w:t>
      </w:r>
      <w:r w:rsidR="00DF0144">
        <w:rPr>
          <w:szCs w:val="24"/>
        </w:rPr>
        <w:t xml:space="preserve">: </w:t>
      </w:r>
      <w:r w:rsidR="00DF0144">
        <w:rPr>
          <w:szCs w:val="24"/>
        </w:rPr>
        <w:lastRenderedPageBreak/>
        <w:t>niveles</w:t>
      </w:r>
      <w:r w:rsidRPr="003A53CB">
        <w:rPr>
          <w:szCs w:val="24"/>
        </w:rPr>
        <w:t xml:space="preserve"> de BNP&lt; 150 pg/mL </w:t>
      </w:r>
      <w:r w:rsidR="0009430B">
        <w:rPr>
          <w:szCs w:val="24"/>
        </w:rPr>
        <w:t>sugieren</w:t>
      </w:r>
      <w:r w:rsidRPr="003A53CB">
        <w:rPr>
          <w:szCs w:val="24"/>
        </w:rPr>
        <w:t xml:space="preserve"> TRALI, </w:t>
      </w:r>
      <w:r w:rsidR="0009430B">
        <w:rPr>
          <w:szCs w:val="24"/>
        </w:rPr>
        <w:t xml:space="preserve">entre &gt;150 </w:t>
      </w:r>
      <w:r>
        <w:rPr>
          <w:szCs w:val="24"/>
        </w:rPr>
        <w:t xml:space="preserve">y &lt;250 pg/mL </w:t>
      </w:r>
      <w:r w:rsidR="0009430B">
        <w:rPr>
          <w:szCs w:val="24"/>
        </w:rPr>
        <w:t>sugieren TACO,</w:t>
      </w:r>
      <w:r>
        <w:rPr>
          <w:szCs w:val="24"/>
        </w:rPr>
        <w:t xml:space="preserve"> &gt;</w:t>
      </w:r>
      <w:r w:rsidRPr="003A53CB">
        <w:rPr>
          <w:szCs w:val="24"/>
        </w:rPr>
        <w:t>250</w:t>
      </w:r>
      <w:r w:rsidR="0009430B">
        <w:rPr>
          <w:szCs w:val="24"/>
        </w:rPr>
        <w:t xml:space="preserve"> </w:t>
      </w:r>
      <w:r w:rsidRPr="003A53CB">
        <w:rPr>
          <w:szCs w:val="24"/>
        </w:rPr>
        <w:t xml:space="preserve">pg/mL </w:t>
      </w:r>
      <w:r w:rsidR="0009430B">
        <w:rPr>
          <w:szCs w:val="24"/>
        </w:rPr>
        <w:t>sugieren</w:t>
      </w:r>
      <w:r w:rsidRPr="003A53CB">
        <w:rPr>
          <w:szCs w:val="24"/>
        </w:rPr>
        <w:t xml:space="preserve"> insuficiencia cardiaca congestiva</w:t>
      </w:r>
      <w:r w:rsidR="0009430B">
        <w:rPr>
          <w:szCs w:val="24"/>
          <w:vertAlign w:val="superscript"/>
        </w:rPr>
        <w:t>50,</w:t>
      </w:r>
      <w:r>
        <w:rPr>
          <w:szCs w:val="24"/>
          <w:vertAlign w:val="superscript"/>
        </w:rPr>
        <w:t>51</w:t>
      </w:r>
      <w:r w:rsidRPr="003A53CB">
        <w:rPr>
          <w:szCs w:val="24"/>
        </w:rPr>
        <w:t>.</w:t>
      </w:r>
      <w:r w:rsidR="0009430B">
        <w:rPr>
          <w:szCs w:val="24"/>
        </w:rPr>
        <w:t xml:space="preserve"> </w:t>
      </w:r>
      <w:r>
        <w:rPr>
          <w:shd w:val="clear" w:color="auto" w:fill="FFFFFF"/>
        </w:rPr>
        <w:t>La e</w:t>
      </w:r>
      <w:r w:rsidR="0009430B">
        <w:rPr>
          <w:shd w:val="clear" w:color="auto" w:fill="FFFFFF"/>
        </w:rPr>
        <w:t xml:space="preserve">cocardiografía puede </w:t>
      </w:r>
      <w:r>
        <w:rPr>
          <w:shd w:val="clear" w:color="auto" w:fill="FFFFFF"/>
        </w:rPr>
        <w:t xml:space="preserve"> </w:t>
      </w:r>
      <w:r w:rsidR="00A62A41">
        <w:rPr>
          <w:shd w:val="clear" w:color="auto" w:fill="FFFFFF"/>
        </w:rPr>
        <w:t xml:space="preserve">evaluar </w:t>
      </w:r>
      <w:r w:rsidR="0009430B">
        <w:rPr>
          <w:shd w:val="clear" w:color="auto" w:fill="FFFFFF"/>
        </w:rPr>
        <w:t xml:space="preserve"> función cardiaca y</w:t>
      </w:r>
      <w:r>
        <w:rPr>
          <w:shd w:val="clear" w:color="auto" w:fill="FFFFFF"/>
        </w:rPr>
        <w:t xml:space="preserve"> volumen.</w:t>
      </w:r>
      <w:r>
        <w:rPr>
          <w:rStyle w:val="apple-converted-space"/>
          <w:shd w:val="clear" w:color="auto" w:fill="FFFFFF"/>
        </w:rPr>
        <w:t> </w:t>
      </w:r>
      <w:r w:rsidR="00A62A41">
        <w:rPr>
          <w:shd w:val="clear" w:color="auto" w:fill="FFFFFF"/>
        </w:rPr>
        <w:t xml:space="preserve"> </w:t>
      </w:r>
    </w:p>
    <w:p w14:paraId="0E79FC9C" w14:textId="77777777" w:rsidR="006050C3" w:rsidRPr="00F23359" w:rsidRDefault="006050C3" w:rsidP="002E4EFB">
      <w:pPr>
        <w:pStyle w:val="Ttulo4"/>
        <w:spacing w:line="480" w:lineRule="auto"/>
        <w:rPr>
          <w:rFonts w:ascii="Times New Roman" w:hAnsi="Times New Roman" w:cs="Times New Roman"/>
          <w:b w:val="0"/>
          <w:color w:val="auto"/>
          <w:shd w:val="clear" w:color="auto" w:fill="FFFFFF"/>
        </w:rPr>
      </w:pPr>
      <w:r w:rsidRPr="00F23359">
        <w:rPr>
          <w:rFonts w:ascii="Times New Roman" w:hAnsi="Times New Roman" w:cs="Times New Roman"/>
          <w:b w:val="0"/>
          <w:color w:val="auto"/>
          <w:shd w:val="clear" w:color="auto" w:fill="FFFFFF"/>
        </w:rPr>
        <w:t xml:space="preserve">Tratamiento </w:t>
      </w:r>
    </w:p>
    <w:p w14:paraId="78DC9BB9" w14:textId="77777777" w:rsidR="006050C3" w:rsidRDefault="00A62A41" w:rsidP="002E4EFB">
      <w:pPr>
        <w:spacing w:after="0" w:line="480" w:lineRule="auto"/>
        <w:jc w:val="both"/>
      </w:pPr>
      <w:r>
        <w:rPr>
          <w:shd w:val="clear" w:color="auto" w:fill="FFFFFF"/>
        </w:rPr>
        <w:t>No</w:t>
      </w:r>
      <w:r w:rsidR="0003689A">
        <w:rPr>
          <w:shd w:val="clear" w:color="auto" w:fill="FFFFFF"/>
        </w:rPr>
        <w:t xml:space="preserve"> existe</w:t>
      </w:r>
      <w:r w:rsidR="006050C3">
        <w:rPr>
          <w:shd w:val="clear" w:color="auto" w:fill="FFFFFF"/>
        </w:rPr>
        <w:t xml:space="preserve"> tratamiento específico.</w:t>
      </w:r>
      <w:r w:rsidR="006050C3">
        <w:rPr>
          <w:rStyle w:val="apple-converted-space"/>
          <w:shd w:val="clear" w:color="auto" w:fill="FFFFFF"/>
        </w:rPr>
        <w:t> </w:t>
      </w:r>
      <w:r w:rsidR="0003689A">
        <w:rPr>
          <w:shd w:val="clear" w:color="auto" w:fill="FFFFFF"/>
        </w:rPr>
        <w:t xml:space="preserve">En general tiene </w:t>
      </w:r>
      <w:r w:rsidR="006050C3">
        <w:rPr>
          <w:shd w:val="clear" w:color="auto" w:fill="FFFFFF"/>
        </w:rPr>
        <w:t>mejor pronóstico que otras causas de distres.</w:t>
      </w:r>
      <w:r w:rsidR="006050C3">
        <w:rPr>
          <w:rStyle w:val="apple-converted-space"/>
          <w:shd w:val="clear" w:color="auto" w:fill="FFFFFF"/>
        </w:rPr>
        <w:t> La</w:t>
      </w:r>
      <w:r w:rsidR="0003689A">
        <w:rPr>
          <w:rStyle w:val="apple-converted-space"/>
          <w:shd w:val="clear" w:color="auto" w:fill="FFFFFF"/>
        </w:rPr>
        <w:t xml:space="preserve"> transfusión debe interrumpirse</w:t>
      </w:r>
      <w:r w:rsidR="006050C3">
        <w:rPr>
          <w:rStyle w:val="apple-converted-space"/>
          <w:shd w:val="clear" w:color="auto" w:fill="FFFFFF"/>
        </w:rPr>
        <w:t xml:space="preserve"> </w:t>
      </w:r>
      <w:r w:rsidR="0003689A">
        <w:rPr>
          <w:rStyle w:val="apple-converted-space"/>
          <w:shd w:val="clear" w:color="auto" w:fill="FFFFFF"/>
        </w:rPr>
        <w:t>y</w:t>
      </w:r>
      <w:r w:rsidR="006050C3">
        <w:rPr>
          <w:shd w:val="clear" w:color="auto" w:fill="FFFFFF"/>
        </w:rPr>
        <w:t xml:space="preserve"> las intervenciones potencialmente dañinas</w:t>
      </w:r>
      <w:r w:rsidR="0003689A">
        <w:rPr>
          <w:shd w:val="clear" w:color="auto" w:fill="FFFFFF"/>
        </w:rPr>
        <w:t>, como diuréticos, deben evitarse</w:t>
      </w:r>
      <w:r w:rsidR="006050C3">
        <w:rPr>
          <w:shd w:val="clear" w:color="auto" w:fill="FFFFFF"/>
        </w:rPr>
        <w:t>.</w:t>
      </w:r>
      <w:r w:rsidR="006050C3">
        <w:rPr>
          <w:bCs/>
          <w:szCs w:val="24"/>
        </w:rPr>
        <w:t xml:space="preserve"> </w:t>
      </w:r>
      <w:r w:rsidR="00B147FE">
        <w:rPr>
          <w:shd w:val="clear" w:color="auto" w:fill="FFFFFF"/>
        </w:rPr>
        <w:t>De hecho,</w:t>
      </w:r>
      <w:r w:rsidR="00AE6415">
        <w:rPr>
          <w:shd w:val="clear" w:color="auto" w:fill="FFFFFF"/>
        </w:rPr>
        <w:t xml:space="preserve"> pacientes</w:t>
      </w:r>
      <w:r w:rsidR="006050C3">
        <w:rPr>
          <w:shd w:val="clear" w:color="auto" w:fill="FFFFFF"/>
        </w:rPr>
        <w:t xml:space="preserve"> hipotensos pueden requerir l</w:t>
      </w:r>
      <w:r w:rsidR="00B147FE">
        <w:rPr>
          <w:shd w:val="clear" w:color="auto" w:fill="FFFFFF"/>
        </w:rPr>
        <w:t>íquidos intravenosos. Para los casos leves, oxígeno suplementario y</w:t>
      </w:r>
      <w:r w:rsidR="006050C3">
        <w:rPr>
          <w:shd w:val="clear" w:color="auto" w:fill="FFFFFF"/>
        </w:rPr>
        <w:t xml:space="preserve"> atención de rutina pueden ser suficientes</w:t>
      </w:r>
      <w:r w:rsidR="0003689A">
        <w:rPr>
          <w:shd w:val="clear" w:color="auto" w:fill="FFFFFF"/>
        </w:rPr>
        <w:t>, mientras que</w:t>
      </w:r>
      <w:r w:rsidR="006050C3">
        <w:rPr>
          <w:shd w:val="clear" w:color="auto" w:fill="FFFFFF"/>
        </w:rPr>
        <w:t xml:space="preserve"> casos graves</w:t>
      </w:r>
      <w:r w:rsidR="0003689A">
        <w:rPr>
          <w:shd w:val="clear" w:color="auto" w:fill="FFFFFF"/>
        </w:rPr>
        <w:t xml:space="preserve"> pueden requerir</w:t>
      </w:r>
      <w:r w:rsidR="006050C3">
        <w:rPr>
          <w:shd w:val="clear" w:color="auto" w:fill="FFFFFF"/>
        </w:rPr>
        <w:t xml:space="preserve"> ventilación mecánica</w:t>
      </w:r>
      <w:r w:rsidR="00CB2030">
        <w:rPr>
          <w:shd w:val="clear" w:color="auto" w:fill="FFFFFF"/>
        </w:rPr>
        <w:t xml:space="preserve"> </w:t>
      </w:r>
      <w:r w:rsidR="00CB2030">
        <w:t>(</w:t>
      </w:r>
      <w:r w:rsidR="00B77AF3">
        <w:t xml:space="preserve">con </w:t>
      </w:r>
      <w:r w:rsidR="00CB2030">
        <w:t>estrategia protectora)</w:t>
      </w:r>
      <w:r w:rsidR="006050C3">
        <w:rPr>
          <w:shd w:val="clear" w:color="auto" w:fill="FFFFFF"/>
        </w:rPr>
        <w:t>, monitorización hemodinámica invasiva y vasopresores.</w:t>
      </w:r>
      <w:r w:rsidR="00CB2030">
        <w:t xml:space="preserve"> Respecto a</w:t>
      </w:r>
      <w:r w:rsidR="006050C3">
        <w:t xml:space="preserve"> glucocorticoides, n</w:t>
      </w:r>
      <w:r w:rsidR="00AE6415">
        <w:t>o hay ensayos controlados</w:t>
      </w:r>
      <w:r w:rsidR="0003689A">
        <w:t xml:space="preserve"> con esta terapia y d</w:t>
      </w:r>
      <w:r w:rsidR="006050C3">
        <w:t>adas las complicaciones potenciales, y el curso generalmente autolimitad</w:t>
      </w:r>
      <w:r w:rsidR="0003689A">
        <w:t>o</w:t>
      </w:r>
      <w:r w:rsidR="006050C3">
        <w:t xml:space="preserve"> del  TRALI, no </w:t>
      </w:r>
      <w:r w:rsidR="0003689A">
        <w:t>están aconsejados</w:t>
      </w:r>
      <w:r w:rsidR="006050C3">
        <w:rPr>
          <w:vertAlign w:val="superscript"/>
        </w:rPr>
        <w:t>50, 51</w:t>
      </w:r>
    </w:p>
    <w:p w14:paraId="424F0B1B" w14:textId="77777777" w:rsidR="006050C3" w:rsidRPr="008E5DD7" w:rsidRDefault="00B50F0B" w:rsidP="002E4EFB">
      <w:pPr>
        <w:pStyle w:val="Ttulo3"/>
        <w:spacing w:line="480" w:lineRule="auto"/>
        <w:rPr>
          <w:rFonts w:ascii="Times New Roman" w:hAnsi="Times New Roman" w:cs="Times New Roman"/>
          <w:color w:val="auto"/>
          <w:szCs w:val="24"/>
          <w:shd w:val="clear" w:color="auto" w:fill="FFFFFF"/>
        </w:rPr>
      </w:pPr>
      <w:bookmarkStart w:id="21" w:name="_Toc431407925"/>
      <w:r>
        <w:rPr>
          <w:rFonts w:ascii="Times New Roman" w:hAnsi="Times New Roman" w:cs="Times New Roman"/>
          <w:color w:val="auto"/>
          <w:szCs w:val="24"/>
          <w:shd w:val="clear" w:color="auto" w:fill="FFFFFF"/>
        </w:rPr>
        <w:t>Efecto inmunosupresor</w:t>
      </w:r>
      <w:r w:rsidR="006050C3" w:rsidRPr="008E5DD7">
        <w:rPr>
          <w:rFonts w:ascii="Times New Roman" w:hAnsi="Times New Roman" w:cs="Times New Roman"/>
          <w:color w:val="auto"/>
          <w:szCs w:val="24"/>
          <w:shd w:val="clear" w:color="auto" w:fill="FFFFFF"/>
        </w:rPr>
        <w:t xml:space="preserve"> (TRIM)</w:t>
      </w:r>
      <w:bookmarkEnd w:id="21"/>
    </w:p>
    <w:p w14:paraId="6D69F13C" w14:textId="77777777" w:rsidR="006050C3" w:rsidRPr="0088383C" w:rsidRDefault="00B50F0B" w:rsidP="002E4EFB">
      <w:pPr>
        <w:pStyle w:val="p"/>
        <w:shd w:val="clear" w:color="auto" w:fill="FFFFFF"/>
        <w:spacing w:before="0" w:beforeAutospacing="0" w:after="0" w:afterAutospacing="0" w:line="480" w:lineRule="auto"/>
        <w:jc w:val="both"/>
        <w:rPr>
          <w:b/>
        </w:rPr>
      </w:pPr>
      <w:r>
        <w:rPr>
          <w:rFonts w:eastAsia="Arial Unicode MS"/>
          <w:shd w:val="clear" w:color="auto" w:fill="FFFFFF"/>
        </w:rPr>
        <w:t>C</w:t>
      </w:r>
      <w:r w:rsidR="006050C3" w:rsidRPr="0088383C">
        <w:rPr>
          <w:rFonts w:eastAsia="Arial Unicode MS"/>
          <w:shd w:val="clear" w:color="auto" w:fill="FFFFFF"/>
        </w:rPr>
        <w:t>onstituye un estado de in</w:t>
      </w:r>
      <w:r w:rsidR="006050C3">
        <w:rPr>
          <w:rFonts w:eastAsia="Arial Unicode MS"/>
          <w:shd w:val="clear" w:color="auto" w:fill="FFFFFF"/>
        </w:rPr>
        <w:t>munosupresión vincula</w:t>
      </w:r>
      <w:r w:rsidR="00AE6415">
        <w:rPr>
          <w:rFonts w:eastAsia="Arial Unicode MS"/>
          <w:shd w:val="clear" w:color="auto" w:fill="FFFFFF"/>
        </w:rPr>
        <w:t>ndo</w:t>
      </w:r>
      <w:r w:rsidR="006050C3">
        <w:rPr>
          <w:rFonts w:eastAsia="Arial Unicode MS"/>
          <w:shd w:val="clear" w:color="auto" w:fill="FFFFFF"/>
        </w:rPr>
        <w:t xml:space="preserve"> la transfusión</w:t>
      </w:r>
      <w:r w:rsidR="006050C3" w:rsidRPr="0088383C">
        <w:rPr>
          <w:rFonts w:eastAsia="Arial Unicode MS"/>
          <w:shd w:val="clear" w:color="auto" w:fill="FFFFFF"/>
        </w:rPr>
        <w:t xml:space="preserve"> (estudios observacionales) a un mayor incidencia de neumonía, infección urinaria, mediastinitis, sepsis, infección postoperatoria, re</w:t>
      </w:r>
      <w:r w:rsidR="006050C3">
        <w:rPr>
          <w:rFonts w:eastAsia="Arial Unicode MS"/>
          <w:shd w:val="clear" w:color="auto" w:fill="FFFFFF"/>
        </w:rPr>
        <w:t>activación de virus latentes,</w:t>
      </w:r>
      <w:r>
        <w:rPr>
          <w:rFonts w:eastAsia="Arial Unicode MS"/>
          <w:shd w:val="clear" w:color="auto" w:fill="FFFFFF"/>
        </w:rPr>
        <w:t xml:space="preserve"> y</w:t>
      </w:r>
      <w:r w:rsidR="006050C3">
        <w:rPr>
          <w:rFonts w:eastAsia="Arial Unicode MS"/>
          <w:shd w:val="clear" w:color="auto" w:fill="FFFFFF"/>
        </w:rPr>
        <w:t xml:space="preserve"> </w:t>
      </w:r>
      <w:r w:rsidR="006050C3" w:rsidRPr="0088383C">
        <w:rPr>
          <w:rFonts w:eastAsia="Arial Unicode MS"/>
          <w:shd w:val="clear" w:color="auto" w:fill="FFFFFF"/>
        </w:rPr>
        <w:t>tras cirugía oncológic</w:t>
      </w:r>
      <w:r>
        <w:rPr>
          <w:rFonts w:eastAsia="Arial Unicode MS"/>
          <w:shd w:val="clear" w:color="auto" w:fill="FFFFFF"/>
        </w:rPr>
        <w:t>a, a un aumento de</w:t>
      </w:r>
      <w:r w:rsidR="006050C3" w:rsidRPr="0088383C">
        <w:rPr>
          <w:rFonts w:eastAsia="Arial Unicode MS"/>
          <w:shd w:val="clear" w:color="auto" w:fill="FFFFFF"/>
        </w:rPr>
        <w:t xml:space="preserve"> recurrencia neoplásica. Las sustancia</w:t>
      </w:r>
      <w:r w:rsidR="00AE6415">
        <w:rPr>
          <w:rFonts w:eastAsia="Arial Unicode MS"/>
          <w:shd w:val="clear" w:color="auto" w:fill="FFFFFF"/>
        </w:rPr>
        <w:t xml:space="preserve">s vasoactivas liberadas por </w:t>
      </w:r>
      <w:r w:rsidR="006050C3" w:rsidRPr="0088383C">
        <w:rPr>
          <w:rFonts w:eastAsia="Arial Unicode MS"/>
          <w:shd w:val="clear" w:color="auto" w:fill="FFFFFF"/>
        </w:rPr>
        <w:t>leucocitos y linfocitos transfundidos podrían ser responsables de este efecto inmunomodulador, asociado a una infrarregulación de la inmunidad celular (disfunción de células</w:t>
      </w:r>
      <w:r w:rsidR="006050C3" w:rsidRPr="0088383C">
        <w:rPr>
          <w:rStyle w:val="apple-converted-space"/>
          <w:rFonts w:eastAsia="Arial Unicode MS"/>
          <w:shd w:val="clear" w:color="auto" w:fill="FFFFFF"/>
        </w:rPr>
        <w:t> </w:t>
      </w:r>
      <w:r w:rsidR="006050C3" w:rsidRPr="0088383C">
        <w:rPr>
          <w:rStyle w:val="elsevierstyleitalic"/>
          <w:rFonts w:eastAsia="Arial Unicode MS"/>
          <w:i/>
          <w:iCs/>
          <w:shd w:val="clear" w:color="auto" w:fill="FFFFFF"/>
        </w:rPr>
        <w:t>natural killer</w:t>
      </w:r>
      <w:r w:rsidR="002A7879">
        <w:rPr>
          <w:rFonts w:eastAsia="Arial Unicode MS"/>
          <w:shd w:val="clear" w:color="auto" w:fill="FFFFFF"/>
        </w:rPr>
        <w:t>, células T,</w:t>
      </w:r>
      <w:r w:rsidR="006050C3" w:rsidRPr="0088383C">
        <w:rPr>
          <w:rFonts w:eastAsia="Arial Unicode MS"/>
          <w:shd w:val="clear" w:color="auto" w:fill="FFFFFF"/>
        </w:rPr>
        <w:t xml:space="preserve"> células presentadoras de antígenos, etc.) y una suprarregulación de la inmunidad humoral (IL4, IL5, IL6, IL10)</w:t>
      </w:r>
      <w:r w:rsidR="006050C3" w:rsidRPr="0088383C">
        <w:rPr>
          <w:vertAlign w:val="superscript"/>
        </w:rPr>
        <w:t>45</w:t>
      </w:r>
      <w:r w:rsidR="006050C3">
        <w:rPr>
          <w:rFonts w:eastAsia="Arial Unicode MS"/>
          <w:shd w:val="clear" w:color="auto" w:fill="FFFFFF"/>
        </w:rPr>
        <w:t xml:space="preserve">. </w:t>
      </w:r>
      <w:r w:rsidR="002A7879">
        <w:rPr>
          <w:rFonts w:eastAsia="Arial Unicode MS"/>
          <w:shd w:val="clear" w:color="auto" w:fill="FFFFFF"/>
        </w:rPr>
        <w:t>No</w:t>
      </w:r>
      <w:r w:rsidR="00AE6415">
        <w:rPr>
          <w:rFonts w:eastAsia="Arial Unicode MS"/>
          <w:shd w:val="clear" w:color="auto" w:fill="FFFFFF"/>
        </w:rPr>
        <w:t xml:space="preserve"> existen datos concluyentes</w:t>
      </w:r>
      <w:r>
        <w:rPr>
          <w:rFonts w:eastAsia="Arial Unicode MS"/>
          <w:shd w:val="clear" w:color="auto" w:fill="FFFFFF"/>
        </w:rPr>
        <w:t xml:space="preserve"> que la </w:t>
      </w:r>
      <w:r w:rsidRPr="002B7454">
        <w:rPr>
          <w:rFonts w:eastAsia="Arial Unicode MS"/>
          <w:i/>
          <w:shd w:val="clear" w:color="auto" w:fill="FFFFFF"/>
        </w:rPr>
        <w:t>leucorreduccion</w:t>
      </w:r>
      <w:r>
        <w:rPr>
          <w:rFonts w:eastAsia="Arial Unicode MS"/>
          <w:shd w:val="clear" w:color="auto" w:fill="FFFFFF"/>
        </w:rPr>
        <w:t xml:space="preserve"> en las transfusiones reduzcan</w:t>
      </w:r>
      <w:r w:rsidR="006050C3" w:rsidRPr="0088383C">
        <w:rPr>
          <w:rFonts w:eastAsia="Arial Unicode MS"/>
          <w:shd w:val="clear" w:color="auto" w:fill="FFFFFF"/>
        </w:rPr>
        <w:t xml:space="preserve"> las tasas de infección, mortalidad o recurrencia neoplásica</w:t>
      </w:r>
      <w:r w:rsidR="009E2ED9">
        <w:rPr>
          <w:rFonts w:eastAsia="Arial Unicode MS"/>
          <w:shd w:val="clear" w:color="auto" w:fill="FFFFFF"/>
        </w:rPr>
        <w:t>, a excepción</w:t>
      </w:r>
      <w:r w:rsidR="006050C3" w:rsidRPr="0088383C">
        <w:rPr>
          <w:rFonts w:eastAsia="Arial Unicode MS"/>
          <w:shd w:val="clear" w:color="auto" w:fill="FFFFFF"/>
        </w:rPr>
        <w:t xml:space="preserve"> de </w:t>
      </w:r>
      <w:r>
        <w:rPr>
          <w:rFonts w:eastAsia="Arial Unicode MS"/>
          <w:shd w:val="clear" w:color="auto" w:fill="FFFFFF"/>
        </w:rPr>
        <w:t xml:space="preserve">la </w:t>
      </w:r>
      <w:r w:rsidR="006050C3" w:rsidRPr="0088383C">
        <w:rPr>
          <w:rFonts w:eastAsia="Arial Unicode MS"/>
          <w:shd w:val="clear" w:color="auto" w:fill="FFFFFF"/>
        </w:rPr>
        <w:t>cirugía card</w:t>
      </w:r>
      <w:r w:rsidR="009E2ED9">
        <w:rPr>
          <w:rFonts w:eastAsia="Arial Unicode MS"/>
          <w:shd w:val="clear" w:color="auto" w:fill="FFFFFF"/>
        </w:rPr>
        <w:t>iaca, donde</w:t>
      </w:r>
      <w:r w:rsidR="0079416B">
        <w:rPr>
          <w:rFonts w:eastAsia="Arial Unicode MS"/>
          <w:shd w:val="clear" w:color="auto" w:fill="FFFFFF"/>
        </w:rPr>
        <w:t xml:space="preserve"> </w:t>
      </w:r>
      <w:r>
        <w:rPr>
          <w:rFonts w:eastAsia="Arial Unicode MS"/>
          <w:shd w:val="clear" w:color="auto" w:fill="FFFFFF"/>
        </w:rPr>
        <w:t xml:space="preserve">se ha documentado </w:t>
      </w:r>
      <w:r w:rsidR="006050C3" w:rsidRPr="0088383C">
        <w:rPr>
          <w:rFonts w:eastAsia="Arial Unicode MS"/>
          <w:shd w:val="clear" w:color="auto" w:fill="FFFFFF"/>
        </w:rPr>
        <w:t>reducción en la mortalidad a corto plazo</w:t>
      </w:r>
      <w:r w:rsidR="00153235">
        <w:rPr>
          <w:rFonts w:eastAsia="Arial Unicode MS"/>
          <w:shd w:val="clear" w:color="auto" w:fill="FFFFFF"/>
        </w:rPr>
        <w:t xml:space="preserve"> </w:t>
      </w:r>
      <w:r w:rsidR="00B77AF3">
        <w:rPr>
          <w:rFonts w:eastAsia="Arial Unicode MS"/>
          <w:shd w:val="clear" w:color="auto" w:fill="FFFFFF"/>
        </w:rPr>
        <w:t>con leucorreduccion</w:t>
      </w:r>
      <w:r w:rsidR="009E2ED9">
        <w:rPr>
          <w:rFonts w:eastAsia="Arial Unicode MS"/>
          <w:shd w:val="clear" w:color="auto" w:fill="FFFFFF"/>
          <w:vertAlign w:val="superscript"/>
        </w:rPr>
        <w:t>28,</w:t>
      </w:r>
      <w:r w:rsidR="006050C3">
        <w:rPr>
          <w:rFonts w:eastAsia="Arial Unicode MS"/>
          <w:shd w:val="clear" w:color="auto" w:fill="FFFFFF"/>
          <w:vertAlign w:val="superscript"/>
        </w:rPr>
        <w:t>45</w:t>
      </w:r>
      <w:r w:rsidR="006050C3">
        <w:rPr>
          <w:rFonts w:eastAsia="Arial Unicode MS"/>
          <w:shd w:val="clear" w:color="auto" w:fill="FFFFFF"/>
        </w:rPr>
        <w:t>.</w:t>
      </w:r>
      <w:r w:rsidR="00153235">
        <w:rPr>
          <w:rFonts w:eastAsia="Arial Unicode MS"/>
          <w:shd w:val="clear" w:color="auto" w:fill="FFFFFF"/>
        </w:rPr>
        <w:t xml:space="preserve"> </w:t>
      </w:r>
      <w:r w:rsidR="00B112AC">
        <w:rPr>
          <w:rFonts w:eastAsia="Arial Unicode MS"/>
          <w:shd w:val="clear" w:color="auto" w:fill="FFFFFF"/>
        </w:rPr>
        <w:t>E</w:t>
      </w:r>
      <w:r w:rsidR="006050C3">
        <w:rPr>
          <w:rFonts w:eastAsia="Arial Unicode MS"/>
          <w:shd w:val="clear" w:color="auto" w:fill="FFFFFF"/>
        </w:rPr>
        <w:t>studios en proceso como el ABL</w:t>
      </w:r>
      <w:r w:rsidR="00153235">
        <w:rPr>
          <w:rFonts w:eastAsia="Arial Unicode MS"/>
          <w:shd w:val="clear" w:color="auto" w:fill="FFFFFF"/>
        </w:rPr>
        <w:t>E (Age of Blood Evaluation) y</w:t>
      </w:r>
      <w:r w:rsidR="006050C3">
        <w:rPr>
          <w:rFonts w:eastAsia="Arial Unicode MS"/>
          <w:shd w:val="clear" w:color="auto" w:fill="FFFFFF"/>
        </w:rPr>
        <w:t xml:space="preserve"> RECESS </w:t>
      </w:r>
      <w:r w:rsidR="00B112AC">
        <w:rPr>
          <w:rFonts w:eastAsia="Arial Unicode MS"/>
          <w:shd w:val="clear" w:color="auto" w:fill="FFFFFF"/>
        </w:rPr>
        <w:t>(Red Cell Storage Duration)</w:t>
      </w:r>
      <w:r w:rsidR="00CE6620">
        <w:rPr>
          <w:rFonts w:eastAsia="Arial Unicode MS"/>
          <w:shd w:val="clear" w:color="auto" w:fill="FFFFFF"/>
        </w:rPr>
        <w:t xml:space="preserve"> probablemente darán</w:t>
      </w:r>
      <w:r w:rsidR="00B112AC">
        <w:rPr>
          <w:rFonts w:eastAsia="Arial Unicode MS"/>
          <w:shd w:val="clear" w:color="auto" w:fill="FFFFFF"/>
        </w:rPr>
        <w:t xml:space="preserve"> </w:t>
      </w:r>
      <w:r w:rsidR="006050C3">
        <w:rPr>
          <w:rFonts w:eastAsia="Arial Unicode MS"/>
          <w:shd w:val="clear" w:color="auto" w:fill="FFFFFF"/>
        </w:rPr>
        <w:t>respuesta</w:t>
      </w:r>
      <w:r w:rsidR="00B112AC">
        <w:rPr>
          <w:rFonts w:eastAsia="Arial Unicode MS"/>
          <w:shd w:val="clear" w:color="auto" w:fill="FFFFFF"/>
        </w:rPr>
        <w:t>s</w:t>
      </w:r>
      <w:r w:rsidR="006050C3">
        <w:rPr>
          <w:rFonts w:eastAsia="Arial Unicode MS"/>
          <w:shd w:val="clear" w:color="auto" w:fill="FFFFFF"/>
        </w:rPr>
        <w:t xml:space="preserve"> sobre este procedimiento. </w:t>
      </w:r>
      <w:r w:rsidR="006050C3" w:rsidRPr="0088383C">
        <w:rPr>
          <w:rFonts w:eastAsia="Arial Unicode MS"/>
          <w:shd w:val="clear" w:color="auto" w:fill="FFFFFF"/>
        </w:rPr>
        <w:t xml:space="preserve"> </w:t>
      </w:r>
    </w:p>
    <w:p w14:paraId="14587041" w14:textId="77777777" w:rsidR="006050C3" w:rsidRDefault="006050C3" w:rsidP="002E4EFB">
      <w:pPr>
        <w:spacing w:after="0" w:line="480" w:lineRule="auto"/>
        <w:jc w:val="both"/>
        <w:rPr>
          <w:rFonts w:eastAsia="Arial Unicode MS"/>
          <w:szCs w:val="24"/>
          <w:shd w:val="clear" w:color="auto" w:fill="FFFFFF"/>
        </w:rPr>
      </w:pPr>
      <w:r w:rsidRPr="0088383C">
        <w:rPr>
          <w:rFonts w:eastAsia="Arial Unicode MS"/>
          <w:szCs w:val="24"/>
          <w:shd w:val="clear" w:color="auto" w:fill="FFFFFF"/>
        </w:rPr>
        <w:lastRenderedPageBreak/>
        <w:t>Un tiempo de almacenamiento prolongado de las bolsas de concentrados de hematíes («lesión por almacenamiento») podría implicar el deterioro morfológ</w:t>
      </w:r>
      <w:r w:rsidR="00CE6620">
        <w:rPr>
          <w:rFonts w:eastAsia="Arial Unicode MS"/>
          <w:szCs w:val="24"/>
          <w:shd w:val="clear" w:color="auto" w:fill="FFFFFF"/>
        </w:rPr>
        <w:t>ico (alteración de la membrana,</w:t>
      </w:r>
      <w:r w:rsidRPr="0088383C">
        <w:rPr>
          <w:rFonts w:eastAsia="Arial Unicode MS"/>
          <w:szCs w:val="24"/>
          <w:shd w:val="clear" w:color="auto" w:fill="FFFFFF"/>
        </w:rPr>
        <w:t xml:space="preserve"> pérdida de elasticidad y capacidad de deformación) y funcional (disminución de 2,3-bifosfoglicerato, óxido nítrico y ATP) de los eritrocitos, con cambios de</w:t>
      </w:r>
      <w:r w:rsidR="003D6470">
        <w:rPr>
          <w:rFonts w:eastAsia="Arial Unicode MS"/>
          <w:szCs w:val="24"/>
          <w:shd w:val="clear" w:color="auto" w:fill="FFFFFF"/>
        </w:rPr>
        <w:t>letéreos en su vida media,</w:t>
      </w:r>
      <w:r w:rsidRPr="0088383C">
        <w:rPr>
          <w:rFonts w:eastAsia="Arial Unicode MS"/>
          <w:szCs w:val="24"/>
          <w:shd w:val="clear" w:color="auto" w:fill="FFFFFF"/>
        </w:rPr>
        <w:t xml:space="preserve"> afinidad por el oxígeno</w:t>
      </w:r>
      <w:r w:rsidR="009E2ED9">
        <w:rPr>
          <w:rFonts w:eastAsia="Arial Unicode MS"/>
          <w:szCs w:val="24"/>
          <w:shd w:val="clear" w:color="auto" w:fill="FFFFFF"/>
        </w:rPr>
        <w:t>,</w:t>
      </w:r>
      <w:r w:rsidRPr="0088383C">
        <w:rPr>
          <w:rFonts w:eastAsia="Arial Unicode MS"/>
          <w:szCs w:val="24"/>
          <w:shd w:val="clear" w:color="auto" w:fill="FFFFFF"/>
        </w:rPr>
        <w:t xml:space="preserve"> capacidad para favorecer la vasoconstricción, lesión endotelial, isquemia tisular y, presumiblemente, la infección</w:t>
      </w:r>
      <w:r w:rsidRPr="0088383C">
        <w:rPr>
          <w:szCs w:val="24"/>
          <w:vertAlign w:val="superscript"/>
        </w:rPr>
        <w:t>28, 45, 47</w:t>
      </w:r>
      <w:r w:rsidRPr="0088383C">
        <w:rPr>
          <w:rFonts w:eastAsia="Arial Unicode MS"/>
          <w:szCs w:val="24"/>
          <w:shd w:val="clear" w:color="auto" w:fill="FFFFFF"/>
        </w:rPr>
        <w:t>.</w:t>
      </w:r>
      <w:r w:rsidR="00F23359">
        <w:rPr>
          <w:rFonts w:eastAsia="Arial Unicode MS"/>
          <w:szCs w:val="24"/>
          <w:shd w:val="clear" w:color="auto" w:fill="FFFFFF"/>
        </w:rPr>
        <w:t xml:space="preserve"> </w:t>
      </w:r>
      <w:r w:rsidR="003D6470">
        <w:rPr>
          <w:rFonts w:eastAsia="Arial Unicode MS"/>
          <w:szCs w:val="24"/>
          <w:shd w:val="clear" w:color="auto" w:fill="FFFFFF"/>
        </w:rPr>
        <w:t>E</w:t>
      </w:r>
      <w:r w:rsidR="00273248">
        <w:rPr>
          <w:rFonts w:eastAsia="Arial Unicode MS"/>
          <w:szCs w:val="24"/>
          <w:shd w:val="clear" w:color="auto" w:fill="FFFFFF"/>
        </w:rPr>
        <w:t>studios observacionales</w:t>
      </w:r>
      <w:r w:rsidR="009E2ED9">
        <w:rPr>
          <w:rFonts w:eastAsia="Arial Unicode MS"/>
          <w:szCs w:val="24"/>
          <w:shd w:val="clear" w:color="auto" w:fill="FFFFFF"/>
        </w:rPr>
        <w:t xml:space="preserve"> </w:t>
      </w:r>
      <w:r w:rsidR="00153235">
        <w:rPr>
          <w:rFonts w:eastAsia="Arial Unicode MS"/>
          <w:szCs w:val="24"/>
          <w:shd w:val="clear" w:color="auto" w:fill="FFFFFF"/>
        </w:rPr>
        <w:t>aso</w:t>
      </w:r>
      <w:r w:rsidR="00273248">
        <w:rPr>
          <w:rFonts w:eastAsia="Arial Unicode MS"/>
          <w:szCs w:val="24"/>
          <w:shd w:val="clear" w:color="auto" w:fill="FFFFFF"/>
        </w:rPr>
        <w:t>cian</w:t>
      </w:r>
      <w:r>
        <w:rPr>
          <w:rFonts w:eastAsia="Arial Unicode MS"/>
          <w:szCs w:val="24"/>
          <w:shd w:val="clear" w:color="auto" w:fill="FFFFFF"/>
        </w:rPr>
        <w:t xml:space="preserve"> </w:t>
      </w:r>
      <w:r w:rsidR="00273248">
        <w:rPr>
          <w:rFonts w:eastAsia="Arial Unicode MS"/>
          <w:szCs w:val="24"/>
          <w:shd w:val="clear" w:color="auto" w:fill="FFFFFF"/>
        </w:rPr>
        <w:t xml:space="preserve">la </w:t>
      </w:r>
      <w:r w:rsidR="009E2ED9" w:rsidRPr="0088383C">
        <w:rPr>
          <w:rFonts w:eastAsia="Arial Unicode MS"/>
          <w:szCs w:val="24"/>
          <w:shd w:val="clear" w:color="auto" w:fill="FFFFFF"/>
        </w:rPr>
        <w:t>aparición de complicaciones</w:t>
      </w:r>
      <w:r w:rsidR="009E2ED9">
        <w:rPr>
          <w:rFonts w:eastAsia="Arial Unicode MS"/>
          <w:szCs w:val="24"/>
          <w:shd w:val="clear" w:color="auto" w:fill="FFFFFF"/>
        </w:rPr>
        <w:t xml:space="preserve"> </w:t>
      </w:r>
      <w:r w:rsidR="00273248">
        <w:rPr>
          <w:rFonts w:eastAsia="Arial Unicode MS"/>
          <w:szCs w:val="24"/>
          <w:shd w:val="clear" w:color="auto" w:fill="FFFFFF"/>
        </w:rPr>
        <w:t>con</w:t>
      </w:r>
      <w:r>
        <w:rPr>
          <w:rFonts w:eastAsia="Arial Unicode MS"/>
          <w:szCs w:val="24"/>
          <w:shd w:val="clear" w:color="auto" w:fill="FFFFFF"/>
        </w:rPr>
        <w:t xml:space="preserve"> </w:t>
      </w:r>
      <w:r w:rsidR="00273248">
        <w:rPr>
          <w:rFonts w:eastAsia="Arial Unicode MS"/>
          <w:szCs w:val="24"/>
          <w:shd w:val="clear" w:color="auto" w:fill="FFFFFF"/>
        </w:rPr>
        <w:t>transfusión de</w:t>
      </w:r>
      <w:r>
        <w:rPr>
          <w:rFonts w:eastAsia="Arial Unicode MS"/>
          <w:szCs w:val="24"/>
          <w:shd w:val="clear" w:color="auto" w:fill="FFFFFF"/>
        </w:rPr>
        <w:t xml:space="preserve"> GRA almacenado &gt;2</w:t>
      </w:r>
      <w:r w:rsidR="003D6470">
        <w:rPr>
          <w:rFonts w:eastAsia="Arial Unicode MS"/>
          <w:szCs w:val="24"/>
          <w:shd w:val="clear" w:color="auto" w:fill="FFFFFF"/>
        </w:rPr>
        <w:t xml:space="preserve"> semanas</w:t>
      </w:r>
      <w:r w:rsidRPr="0088383C">
        <w:rPr>
          <w:szCs w:val="24"/>
          <w:vertAlign w:val="superscript"/>
        </w:rPr>
        <w:t>52</w:t>
      </w:r>
      <w:r w:rsidRPr="0088383C">
        <w:rPr>
          <w:rFonts w:eastAsia="Arial Unicode MS"/>
          <w:szCs w:val="24"/>
          <w:shd w:val="clear" w:color="auto" w:fill="FFFFFF"/>
        </w:rPr>
        <w:t>.</w:t>
      </w:r>
      <w:r w:rsidR="00B112AC">
        <w:rPr>
          <w:rFonts w:eastAsia="Arial Unicode MS"/>
          <w:szCs w:val="24"/>
          <w:shd w:val="clear" w:color="auto" w:fill="FFFFFF"/>
        </w:rPr>
        <w:t xml:space="preserve"> C</w:t>
      </w:r>
      <w:r w:rsidRPr="0088383C">
        <w:rPr>
          <w:rFonts w:eastAsia="Arial Unicode MS"/>
          <w:szCs w:val="24"/>
          <w:shd w:val="clear" w:color="auto" w:fill="FFFFFF"/>
        </w:rPr>
        <w:t xml:space="preserve">oncentraciones elevadas </w:t>
      </w:r>
      <w:r w:rsidR="00B112AC">
        <w:rPr>
          <w:rFonts w:eastAsia="Arial Unicode MS"/>
          <w:szCs w:val="24"/>
          <w:shd w:val="clear" w:color="auto" w:fill="FFFFFF"/>
        </w:rPr>
        <w:t xml:space="preserve">de </w:t>
      </w:r>
      <w:r w:rsidR="00B112AC" w:rsidRPr="0088383C">
        <w:rPr>
          <w:rFonts w:eastAsia="Arial Unicode MS"/>
          <w:szCs w:val="24"/>
          <w:shd w:val="clear" w:color="auto" w:fill="FFFFFF"/>
        </w:rPr>
        <w:t>histamina, proteína eosinofílica catiónica, mi</w:t>
      </w:r>
      <w:r w:rsidR="00B112AC">
        <w:rPr>
          <w:rFonts w:eastAsia="Arial Unicode MS"/>
          <w:szCs w:val="24"/>
          <w:shd w:val="clear" w:color="auto" w:fill="FFFFFF"/>
        </w:rPr>
        <w:t>eloperoxidasa, lípidos, etc</w:t>
      </w:r>
      <w:r w:rsidR="00B112AC" w:rsidRPr="0088383C">
        <w:rPr>
          <w:rFonts w:eastAsia="Arial Unicode MS"/>
          <w:szCs w:val="24"/>
          <w:shd w:val="clear" w:color="auto" w:fill="FFFFFF"/>
        </w:rPr>
        <w:t xml:space="preserve"> </w:t>
      </w:r>
      <w:r w:rsidRPr="0088383C">
        <w:rPr>
          <w:rFonts w:eastAsia="Arial Unicode MS"/>
          <w:szCs w:val="24"/>
          <w:shd w:val="clear" w:color="auto" w:fill="FFFFFF"/>
        </w:rPr>
        <w:t xml:space="preserve">en las </w:t>
      </w:r>
      <w:r w:rsidR="00B112AC">
        <w:rPr>
          <w:rFonts w:eastAsia="Arial Unicode MS"/>
          <w:szCs w:val="24"/>
          <w:shd w:val="clear" w:color="auto" w:fill="FFFFFF"/>
        </w:rPr>
        <w:t>bolsas de hematíes almacenadas</w:t>
      </w:r>
      <w:r w:rsidR="002A7879">
        <w:rPr>
          <w:rFonts w:eastAsia="Arial Unicode MS"/>
          <w:szCs w:val="24"/>
          <w:shd w:val="clear" w:color="auto" w:fill="FFFFFF"/>
        </w:rPr>
        <w:t>,</w:t>
      </w:r>
      <w:r w:rsidRPr="0088383C">
        <w:rPr>
          <w:rFonts w:eastAsia="Arial Unicode MS"/>
          <w:szCs w:val="24"/>
          <w:shd w:val="clear" w:color="auto" w:fill="FFFFFF"/>
        </w:rPr>
        <w:t xml:space="preserve"> pueden </w:t>
      </w:r>
      <w:r w:rsidR="00B112AC">
        <w:rPr>
          <w:rFonts w:eastAsia="Arial Unicode MS"/>
          <w:szCs w:val="24"/>
          <w:shd w:val="clear" w:color="auto" w:fill="FFFFFF"/>
        </w:rPr>
        <w:t>actuar como reguladores inmunes</w:t>
      </w:r>
      <w:r w:rsidR="00B112AC" w:rsidRPr="00B112AC">
        <w:rPr>
          <w:rFonts w:eastAsia="Arial Unicode MS"/>
          <w:szCs w:val="24"/>
          <w:shd w:val="clear" w:color="auto" w:fill="FFFFFF"/>
        </w:rPr>
        <w:t xml:space="preserve"> </w:t>
      </w:r>
      <w:r w:rsidR="00B112AC">
        <w:rPr>
          <w:rFonts w:eastAsia="Arial Unicode MS"/>
          <w:szCs w:val="24"/>
          <w:shd w:val="clear" w:color="auto" w:fill="FFFFFF"/>
        </w:rPr>
        <w:t>perjudiciales.</w:t>
      </w:r>
    </w:p>
    <w:p w14:paraId="1FD71EFE" w14:textId="77777777" w:rsidR="006050C3" w:rsidRPr="008F5F72" w:rsidRDefault="008F5F72" w:rsidP="002E4EFB">
      <w:pPr>
        <w:pStyle w:val="Ttulo1"/>
        <w:spacing w:before="0" w:line="480" w:lineRule="auto"/>
        <w:rPr>
          <w:rFonts w:ascii="Times New Roman" w:eastAsia="Arial Unicode MS" w:hAnsi="Times New Roman" w:cs="Times New Roman"/>
          <w:color w:val="auto"/>
          <w:sz w:val="24"/>
          <w:szCs w:val="24"/>
          <w:shd w:val="clear" w:color="auto" w:fill="FFFFFF"/>
        </w:rPr>
      </w:pPr>
      <w:r w:rsidRPr="008F5F72">
        <w:rPr>
          <w:rFonts w:ascii="Times New Roman" w:eastAsia="Arial Unicode MS" w:hAnsi="Times New Roman" w:cs="Times New Roman"/>
          <w:color w:val="auto"/>
          <w:sz w:val="24"/>
          <w:szCs w:val="24"/>
          <w:shd w:val="clear" w:color="auto" w:fill="FFFFFF"/>
        </w:rPr>
        <w:t>C</w:t>
      </w:r>
      <w:r>
        <w:rPr>
          <w:rFonts w:ascii="Times New Roman" w:eastAsia="Arial Unicode MS" w:hAnsi="Times New Roman" w:cs="Times New Roman"/>
          <w:color w:val="auto"/>
          <w:sz w:val="24"/>
          <w:szCs w:val="24"/>
          <w:shd w:val="clear" w:color="auto" w:fill="FFFFFF"/>
        </w:rPr>
        <w:t xml:space="preserve">onclusión </w:t>
      </w:r>
    </w:p>
    <w:p w14:paraId="1ACCC4A7" w14:textId="77777777" w:rsidR="005E0090" w:rsidRDefault="006050C3" w:rsidP="002E4EFB">
      <w:pPr>
        <w:spacing w:after="0" w:line="480" w:lineRule="auto"/>
        <w:jc w:val="both"/>
        <w:rPr>
          <w:szCs w:val="24"/>
        </w:rPr>
      </w:pPr>
      <w:r w:rsidRPr="00705C61">
        <w:rPr>
          <w:rFonts w:eastAsia="Arial Unicode MS"/>
          <w:b/>
          <w:color w:val="auto"/>
          <w:szCs w:val="24"/>
          <w:shd w:val="clear" w:color="auto" w:fill="FFFFFF"/>
        </w:rPr>
        <w:t xml:space="preserve"> </w:t>
      </w:r>
      <w:r w:rsidRPr="00705C61">
        <w:rPr>
          <w:rFonts w:eastAsia="Times New Roman"/>
          <w:color w:val="auto"/>
          <w:szCs w:val="24"/>
          <w:lang w:eastAsia="es-AR"/>
        </w:rPr>
        <w:t>La anemia es un problema clínico comúnmente encontrado en el paciente crítico</w:t>
      </w:r>
      <w:r w:rsidR="000A4F6B" w:rsidRPr="00705C61">
        <w:rPr>
          <w:rFonts w:eastAsia="Times New Roman"/>
          <w:color w:val="auto"/>
          <w:szCs w:val="24"/>
          <w:lang w:eastAsia="es-AR"/>
        </w:rPr>
        <w:t>. L</w:t>
      </w:r>
      <w:r w:rsidRPr="00705C61">
        <w:rPr>
          <w:rFonts w:eastAsia="Times New Roman"/>
          <w:color w:val="auto"/>
          <w:szCs w:val="24"/>
          <w:lang w:eastAsia="es-AR"/>
        </w:rPr>
        <w:t xml:space="preserve">a transfusión de GRA  </w:t>
      </w:r>
      <w:r w:rsidRPr="00705C61">
        <w:rPr>
          <w:color w:val="auto"/>
          <w:szCs w:val="24"/>
        </w:rPr>
        <w:t>representa una medida extraordinariamente útil para el tratamiento de la anemia y la única opción viable para muchos pacientes críticos, pero constituye un recurso limi</w:t>
      </w:r>
      <w:r w:rsidR="0026585F">
        <w:rPr>
          <w:color w:val="auto"/>
          <w:szCs w:val="24"/>
        </w:rPr>
        <w:t xml:space="preserve">tado y no exento de </w:t>
      </w:r>
      <w:r w:rsidRPr="00705C61">
        <w:rPr>
          <w:color w:val="auto"/>
          <w:szCs w:val="24"/>
        </w:rPr>
        <w:t>complicaciones</w:t>
      </w:r>
      <w:r w:rsidR="000A4F6B">
        <w:rPr>
          <w:szCs w:val="24"/>
        </w:rPr>
        <w:t>. L</w:t>
      </w:r>
      <w:r>
        <w:rPr>
          <w:szCs w:val="24"/>
        </w:rPr>
        <w:t>a decisión de transfundir no se basa en un valor arbitrario de Hb.</w:t>
      </w:r>
      <w:r w:rsidR="00C367DA">
        <w:rPr>
          <w:szCs w:val="24"/>
        </w:rPr>
        <w:t xml:space="preserve"> </w:t>
      </w:r>
      <w:r>
        <w:rPr>
          <w:szCs w:val="24"/>
        </w:rPr>
        <w:t>La Hb no es el único determinante de aporte de O2 a los tejidos y no refleja la perfusión tisular ni las demandas metabólicas celulares. Se deben evaluar otras condiciones clínicas</w:t>
      </w:r>
      <w:r w:rsidR="006D0E71">
        <w:rPr>
          <w:szCs w:val="24"/>
        </w:rPr>
        <w:t xml:space="preserve"> individuales</w:t>
      </w:r>
      <w:r>
        <w:rPr>
          <w:szCs w:val="24"/>
        </w:rPr>
        <w:t>: estado cardiovascular, volumen intravascular, sangrado.</w:t>
      </w:r>
      <w:r w:rsidR="00F23359">
        <w:rPr>
          <w:szCs w:val="24"/>
        </w:rPr>
        <w:t xml:space="preserve"> </w:t>
      </w:r>
      <w:r>
        <w:rPr>
          <w:szCs w:val="24"/>
        </w:rPr>
        <w:t xml:space="preserve">No </w:t>
      </w:r>
      <w:r w:rsidR="00754B98">
        <w:rPr>
          <w:szCs w:val="24"/>
        </w:rPr>
        <w:t>se ha demostrado</w:t>
      </w:r>
      <w:r>
        <w:rPr>
          <w:szCs w:val="24"/>
        </w:rPr>
        <w:t xml:space="preserve"> la eficacia de las transfusiones en pacientes </w:t>
      </w:r>
      <w:r w:rsidR="00754B98">
        <w:rPr>
          <w:szCs w:val="24"/>
        </w:rPr>
        <w:t>anémicos</w:t>
      </w:r>
      <w:r w:rsidR="003271F7">
        <w:rPr>
          <w:szCs w:val="24"/>
        </w:rPr>
        <w:t xml:space="preserve"> críticos </w:t>
      </w:r>
      <w:r>
        <w:rPr>
          <w:szCs w:val="24"/>
        </w:rPr>
        <w:t>hemodi</w:t>
      </w:r>
      <w:r w:rsidR="000A4F6B">
        <w:rPr>
          <w:szCs w:val="24"/>
        </w:rPr>
        <w:t xml:space="preserve">namicamente estables </w:t>
      </w:r>
      <w:r>
        <w:rPr>
          <w:szCs w:val="24"/>
        </w:rPr>
        <w:t>y en la enfermedad trauma.</w:t>
      </w:r>
    </w:p>
    <w:p w14:paraId="3CA0EDFF" w14:textId="77777777" w:rsidR="000A4F6B" w:rsidRDefault="005E0090" w:rsidP="002E4EFB">
      <w:pPr>
        <w:spacing w:after="0" w:line="480" w:lineRule="auto"/>
        <w:jc w:val="both"/>
        <w:rPr>
          <w:szCs w:val="24"/>
        </w:rPr>
      </w:pPr>
      <w:r>
        <w:rPr>
          <w:szCs w:val="24"/>
        </w:rPr>
        <w:t xml:space="preserve">La mayoría de los pacientes críticos </w:t>
      </w:r>
      <w:r w:rsidR="006050C3">
        <w:rPr>
          <w:szCs w:val="24"/>
        </w:rPr>
        <w:t xml:space="preserve"> puede</w:t>
      </w:r>
      <w:r>
        <w:rPr>
          <w:szCs w:val="24"/>
        </w:rPr>
        <w:t>n</w:t>
      </w:r>
      <w:r w:rsidR="006050C3">
        <w:rPr>
          <w:szCs w:val="24"/>
        </w:rPr>
        <w:t xml:space="preserve"> to</w:t>
      </w:r>
      <w:r w:rsidR="006D0E71">
        <w:rPr>
          <w:szCs w:val="24"/>
        </w:rPr>
        <w:t>lerar niveles de Hb</w:t>
      </w:r>
      <w:r>
        <w:rPr>
          <w:szCs w:val="24"/>
        </w:rPr>
        <w:t xml:space="preserve"> 7 g/dl</w:t>
      </w:r>
      <w:r w:rsidR="006050C3">
        <w:rPr>
          <w:szCs w:val="24"/>
        </w:rPr>
        <w:t xml:space="preserve">, </w:t>
      </w:r>
      <w:r>
        <w:rPr>
          <w:szCs w:val="24"/>
        </w:rPr>
        <w:t xml:space="preserve">sin embargo </w:t>
      </w:r>
      <w:r w:rsidR="006050C3">
        <w:rPr>
          <w:szCs w:val="24"/>
        </w:rPr>
        <w:t xml:space="preserve">en ciertos  grupos este valor puede no ser </w:t>
      </w:r>
      <w:r w:rsidR="000A4F6B">
        <w:rPr>
          <w:szCs w:val="24"/>
        </w:rPr>
        <w:t>adecuado</w:t>
      </w:r>
      <w:r w:rsidR="003271F7">
        <w:rPr>
          <w:szCs w:val="24"/>
        </w:rPr>
        <w:t>.</w:t>
      </w:r>
    </w:p>
    <w:p w14:paraId="04D71360" w14:textId="77777777" w:rsidR="006050C3" w:rsidRPr="00085A5A" w:rsidRDefault="000A4F6B" w:rsidP="002E4EFB">
      <w:pPr>
        <w:spacing w:after="0" w:line="480" w:lineRule="auto"/>
        <w:jc w:val="both"/>
        <w:rPr>
          <w:rFonts w:eastAsia="Arial Unicode MS"/>
          <w:b/>
          <w:szCs w:val="24"/>
          <w:shd w:val="clear" w:color="auto" w:fill="FFFFFF"/>
        </w:rPr>
      </w:pPr>
      <w:r>
        <w:rPr>
          <w:szCs w:val="24"/>
        </w:rPr>
        <w:t xml:space="preserve">Acorde a </w:t>
      </w:r>
      <w:r w:rsidR="006050C3">
        <w:rPr>
          <w:szCs w:val="24"/>
        </w:rPr>
        <w:t>la revisión de los distintos estudios citado</w:t>
      </w:r>
      <w:r>
        <w:rPr>
          <w:szCs w:val="24"/>
        </w:rPr>
        <w:t>s</w:t>
      </w:r>
      <w:r w:rsidR="006050C3">
        <w:rPr>
          <w:szCs w:val="24"/>
        </w:rPr>
        <w:t xml:space="preserve"> en este trabajo, </w:t>
      </w:r>
      <w:r w:rsidR="006050C3" w:rsidRPr="00085A5A">
        <w:rPr>
          <w:b/>
          <w:i/>
          <w:szCs w:val="24"/>
        </w:rPr>
        <w:t>se puede sugerir</w:t>
      </w:r>
      <w:r w:rsidR="006050C3">
        <w:rPr>
          <w:szCs w:val="24"/>
        </w:rPr>
        <w:t>:</w:t>
      </w:r>
      <w:r w:rsidR="002C5F8B">
        <w:rPr>
          <w:szCs w:val="24"/>
        </w:rPr>
        <w:t xml:space="preserve"> </w:t>
      </w:r>
      <w:r w:rsidR="006050C3" w:rsidRPr="002C5F8B">
        <w:rPr>
          <w:rStyle w:val="nfasis"/>
          <w:i w:val="0"/>
          <w:color w:val="auto"/>
          <w:szCs w:val="24"/>
          <w:shd w:val="clear" w:color="auto" w:fill="FFFFFF"/>
        </w:rPr>
        <w:t>pacien</w:t>
      </w:r>
      <w:r w:rsidR="00ED423F">
        <w:rPr>
          <w:rStyle w:val="nfasis"/>
          <w:i w:val="0"/>
          <w:color w:val="auto"/>
          <w:szCs w:val="24"/>
          <w:shd w:val="clear" w:color="auto" w:fill="FFFFFF"/>
        </w:rPr>
        <w:t>tes críticos</w:t>
      </w:r>
      <w:r w:rsidR="006050C3" w:rsidRPr="002C5F8B">
        <w:rPr>
          <w:rStyle w:val="nfasis"/>
          <w:i w:val="0"/>
          <w:color w:val="auto"/>
          <w:szCs w:val="24"/>
          <w:shd w:val="clear" w:color="auto" w:fill="FFFFFF"/>
        </w:rPr>
        <w:t xml:space="preserve"> hem</w:t>
      </w:r>
      <w:r>
        <w:rPr>
          <w:rStyle w:val="nfasis"/>
          <w:i w:val="0"/>
          <w:color w:val="auto"/>
          <w:szCs w:val="24"/>
          <w:shd w:val="clear" w:color="auto" w:fill="FFFFFF"/>
        </w:rPr>
        <w:t>odinamicamente estables, considerar</w:t>
      </w:r>
      <w:r w:rsidR="006050C3" w:rsidRPr="002C5F8B">
        <w:rPr>
          <w:rStyle w:val="nfasis"/>
          <w:i w:val="0"/>
          <w:color w:val="auto"/>
          <w:szCs w:val="24"/>
          <w:shd w:val="clear" w:color="auto" w:fill="FFFFFF"/>
        </w:rPr>
        <w:t xml:space="preserve"> estrategia </w:t>
      </w:r>
      <w:r>
        <w:rPr>
          <w:rStyle w:val="nfasis"/>
          <w:i w:val="0"/>
          <w:color w:val="auto"/>
          <w:szCs w:val="24"/>
          <w:shd w:val="clear" w:color="auto" w:fill="FFFFFF"/>
        </w:rPr>
        <w:t xml:space="preserve">restrictiva </w:t>
      </w:r>
      <w:r w:rsidR="003271F7" w:rsidRPr="002C5F8B">
        <w:rPr>
          <w:color w:val="auto"/>
          <w:szCs w:val="24"/>
          <w:shd w:val="clear" w:color="auto" w:fill="FFFFFF"/>
        </w:rPr>
        <w:t>de transfusión</w:t>
      </w:r>
      <w:r w:rsidR="003271F7">
        <w:rPr>
          <w:rStyle w:val="nfasis"/>
          <w:i w:val="0"/>
          <w:color w:val="auto"/>
          <w:szCs w:val="24"/>
          <w:shd w:val="clear" w:color="auto" w:fill="FFFFFF"/>
        </w:rPr>
        <w:t xml:space="preserve"> </w:t>
      </w:r>
      <w:r>
        <w:rPr>
          <w:rStyle w:val="nfasis"/>
          <w:i w:val="0"/>
          <w:color w:val="auto"/>
          <w:szCs w:val="24"/>
          <w:shd w:val="clear" w:color="auto" w:fill="FFFFFF"/>
        </w:rPr>
        <w:t>(</w:t>
      </w:r>
      <w:r w:rsidR="00754B98">
        <w:rPr>
          <w:rStyle w:val="nfasis"/>
          <w:i w:val="0"/>
          <w:color w:val="auto"/>
          <w:szCs w:val="24"/>
          <w:shd w:val="clear" w:color="auto" w:fill="FFFFFF"/>
        </w:rPr>
        <w:t>Hb ≤</w:t>
      </w:r>
      <w:r w:rsidR="006050C3" w:rsidRPr="002C5F8B">
        <w:rPr>
          <w:rStyle w:val="nfasis"/>
          <w:i w:val="0"/>
          <w:color w:val="auto"/>
          <w:szCs w:val="24"/>
          <w:shd w:val="clear" w:color="auto" w:fill="FFFFFF"/>
        </w:rPr>
        <w:t xml:space="preserve">7g/dL).  </w:t>
      </w:r>
      <w:r w:rsidR="00085A5A">
        <w:rPr>
          <w:rStyle w:val="nfasis"/>
          <w:i w:val="0"/>
          <w:color w:val="auto"/>
          <w:szCs w:val="24"/>
          <w:shd w:val="clear" w:color="auto" w:fill="FFFFFF"/>
        </w:rPr>
        <w:t>P</w:t>
      </w:r>
      <w:r w:rsidR="006050C3" w:rsidRPr="002C5F8B">
        <w:rPr>
          <w:rStyle w:val="nfasis"/>
          <w:i w:val="0"/>
          <w:color w:val="auto"/>
          <w:szCs w:val="24"/>
          <w:shd w:val="clear" w:color="auto" w:fill="FFFFFF"/>
        </w:rPr>
        <w:t xml:space="preserve">acientes en periodo posoperatorio, la transfusión debe ser considerada </w:t>
      </w:r>
      <w:r w:rsidR="00085A5A">
        <w:rPr>
          <w:rStyle w:val="nfasis"/>
          <w:i w:val="0"/>
          <w:color w:val="auto"/>
          <w:szCs w:val="24"/>
          <w:shd w:val="clear" w:color="auto" w:fill="FFFFFF"/>
        </w:rPr>
        <w:t xml:space="preserve">con </w:t>
      </w:r>
      <w:r w:rsidR="006D0E71">
        <w:rPr>
          <w:rStyle w:val="nfasis"/>
          <w:i w:val="0"/>
          <w:color w:val="auto"/>
          <w:szCs w:val="24"/>
          <w:shd w:val="clear" w:color="auto" w:fill="FFFFFF"/>
        </w:rPr>
        <w:t>Hb</w:t>
      </w:r>
      <w:r w:rsidR="00153235">
        <w:rPr>
          <w:rStyle w:val="nfasis"/>
          <w:i w:val="0"/>
          <w:color w:val="auto"/>
          <w:szCs w:val="24"/>
          <w:shd w:val="clear" w:color="auto" w:fill="FFFFFF"/>
        </w:rPr>
        <w:t xml:space="preserve"> </w:t>
      </w:r>
      <w:r w:rsidR="006D0E71">
        <w:rPr>
          <w:rStyle w:val="nfasis"/>
          <w:i w:val="0"/>
          <w:color w:val="auto"/>
          <w:szCs w:val="24"/>
          <w:shd w:val="clear" w:color="auto" w:fill="FFFFFF"/>
        </w:rPr>
        <w:t>≤8</w:t>
      </w:r>
      <w:r w:rsidR="006050C3" w:rsidRPr="002C5F8B">
        <w:rPr>
          <w:rStyle w:val="nfasis"/>
          <w:i w:val="0"/>
          <w:color w:val="auto"/>
          <w:szCs w:val="24"/>
          <w:shd w:val="clear" w:color="auto" w:fill="FFFFFF"/>
        </w:rPr>
        <w:t xml:space="preserve">g/dL, o </w:t>
      </w:r>
      <w:r w:rsidR="00085A5A">
        <w:rPr>
          <w:rStyle w:val="nfasis"/>
          <w:i w:val="0"/>
          <w:color w:val="auto"/>
          <w:szCs w:val="24"/>
          <w:shd w:val="clear" w:color="auto" w:fill="FFFFFF"/>
        </w:rPr>
        <w:t xml:space="preserve">con </w:t>
      </w:r>
      <w:r w:rsidR="006050C3" w:rsidRPr="002C5F8B">
        <w:rPr>
          <w:rStyle w:val="nfasis"/>
          <w:i w:val="0"/>
          <w:color w:val="auto"/>
          <w:szCs w:val="24"/>
          <w:shd w:val="clear" w:color="auto" w:fill="FFFFFF"/>
        </w:rPr>
        <w:t>indicadores fisiológicos</w:t>
      </w:r>
      <w:r w:rsidR="00085A5A">
        <w:rPr>
          <w:rStyle w:val="nfasis"/>
          <w:i w:val="0"/>
          <w:color w:val="auto"/>
          <w:szCs w:val="24"/>
          <w:shd w:val="clear" w:color="auto" w:fill="FFFFFF"/>
        </w:rPr>
        <w:t xml:space="preserve"> </w:t>
      </w:r>
      <w:r w:rsidR="006050C3" w:rsidRPr="002C5F8B">
        <w:rPr>
          <w:rStyle w:val="nfasis"/>
          <w:i w:val="0"/>
          <w:color w:val="auto"/>
          <w:szCs w:val="24"/>
          <w:shd w:val="clear" w:color="auto" w:fill="FFFFFF"/>
        </w:rPr>
        <w:t xml:space="preserve">que indiquen una inadecuada perfusión y oxigenación. </w:t>
      </w:r>
      <w:r w:rsidR="00085A5A">
        <w:rPr>
          <w:rStyle w:val="nfasis"/>
          <w:i w:val="0"/>
          <w:color w:val="auto"/>
          <w:szCs w:val="24"/>
          <w:shd w:val="clear" w:color="auto" w:fill="FFFFFF"/>
        </w:rPr>
        <w:lastRenderedPageBreak/>
        <w:t xml:space="preserve">En </w:t>
      </w:r>
      <w:r w:rsidR="003271F7">
        <w:rPr>
          <w:rStyle w:val="nfasis"/>
          <w:i w:val="0"/>
          <w:color w:val="auto"/>
          <w:szCs w:val="24"/>
          <w:shd w:val="clear" w:color="auto" w:fill="FFFFFF"/>
        </w:rPr>
        <w:t>pacientes</w:t>
      </w:r>
      <w:r w:rsidR="006050C3" w:rsidRPr="002C5F8B">
        <w:rPr>
          <w:rStyle w:val="nfasis"/>
          <w:i w:val="0"/>
          <w:color w:val="auto"/>
          <w:szCs w:val="24"/>
          <w:shd w:val="clear" w:color="auto" w:fill="FFFFFF"/>
        </w:rPr>
        <w:t xml:space="preserve"> hemodinamicamente estables con enfermedad cardiovascular preexistente se podría</w:t>
      </w:r>
      <w:r w:rsidR="006050C3" w:rsidRPr="002C5F8B">
        <w:rPr>
          <w:rStyle w:val="nfasis"/>
          <w:color w:val="auto"/>
          <w:szCs w:val="24"/>
          <w:shd w:val="clear" w:color="auto" w:fill="FFFFFF"/>
        </w:rPr>
        <w:t xml:space="preserve"> </w:t>
      </w:r>
      <w:r w:rsidR="006050C3" w:rsidRPr="002C5F8B">
        <w:rPr>
          <w:color w:val="auto"/>
          <w:szCs w:val="24"/>
          <w:shd w:val="clear" w:color="auto" w:fill="FFFFFF"/>
        </w:rPr>
        <w:t xml:space="preserve">adoptar una estrategia restrictiva, </w:t>
      </w:r>
      <w:r w:rsidR="00085A5A">
        <w:rPr>
          <w:color w:val="auto"/>
          <w:szCs w:val="24"/>
          <w:shd w:val="clear" w:color="auto" w:fill="FFFFFF"/>
        </w:rPr>
        <w:t>pero debe considerarse</w:t>
      </w:r>
      <w:r w:rsidR="006050C3" w:rsidRPr="002C5F8B">
        <w:rPr>
          <w:color w:val="auto"/>
          <w:szCs w:val="24"/>
          <w:shd w:val="clear" w:color="auto" w:fill="FFFFFF"/>
        </w:rPr>
        <w:t xml:space="preserve"> </w:t>
      </w:r>
      <w:r w:rsidR="00085A5A">
        <w:rPr>
          <w:color w:val="auto"/>
          <w:szCs w:val="24"/>
          <w:shd w:val="clear" w:color="auto" w:fill="FFFFFF"/>
        </w:rPr>
        <w:t>con Hb</w:t>
      </w:r>
      <w:r w:rsidR="006050C3" w:rsidRPr="002C5F8B">
        <w:rPr>
          <w:color w:val="auto"/>
          <w:szCs w:val="24"/>
          <w:shd w:val="clear" w:color="auto" w:fill="FFFFFF"/>
        </w:rPr>
        <w:t>≤8 g/dl, o en presencia de síntomas, o indicadores fisiológico</w:t>
      </w:r>
      <w:r w:rsidR="001D14AD">
        <w:rPr>
          <w:color w:val="auto"/>
          <w:szCs w:val="24"/>
          <w:shd w:val="clear" w:color="auto" w:fill="FFFFFF"/>
        </w:rPr>
        <w:t>s</w:t>
      </w:r>
      <w:r w:rsidR="006050C3" w:rsidRPr="002C5F8B">
        <w:rPr>
          <w:color w:val="auto"/>
          <w:szCs w:val="24"/>
          <w:shd w:val="clear" w:color="auto" w:fill="FFFFFF"/>
        </w:rPr>
        <w:t xml:space="preserve"> (precordi</w:t>
      </w:r>
      <w:r w:rsidR="00153235">
        <w:rPr>
          <w:color w:val="auto"/>
          <w:szCs w:val="24"/>
          <w:shd w:val="clear" w:color="auto" w:fill="FFFFFF"/>
        </w:rPr>
        <w:t>algia, hipotensión ortostática,</w:t>
      </w:r>
      <w:r w:rsidR="006050C3" w:rsidRPr="002C5F8B">
        <w:rPr>
          <w:color w:val="auto"/>
          <w:szCs w:val="24"/>
          <w:shd w:val="clear" w:color="auto" w:fill="FFFFFF"/>
        </w:rPr>
        <w:t xml:space="preserve"> taquicardia </w:t>
      </w:r>
      <w:r w:rsidR="00A627F9">
        <w:rPr>
          <w:color w:val="auto"/>
          <w:szCs w:val="24"/>
          <w:shd w:val="clear" w:color="auto" w:fill="FFFFFF"/>
        </w:rPr>
        <w:t>sin respuesta a</w:t>
      </w:r>
      <w:r w:rsidR="006050C3" w:rsidRPr="002C5F8B">
        <w:rPr>
          <w:color w:val="auto"/>
          <w:szCs w:val="24"/>
          <w:shd w:val="clear" w:color="auto" w:fill="FFFFFF"/>
        </w:rPr>
        <w:t xml:space="preserve"> líquidos, o insu</w:t>
      </w:r>
      <w:r w:rsidR="00A627F9">
        <w:rPr>
          <w:color w:val="auto"/>
          <w:szCs w:val="24"/>
          <w:shd w:val="clear" w:color="auto" w:fill="FFFFFF"/>
        </w:rPr>
        <w:t>ficiencia cardíaca congestiva).</w:t>
      </w:r>
      <w:r w:rsidR="002C5F8B">
        <w:rPr>
          <w:iCs/>
          <w:color w:val="auto"/>
          <w:szCs w:val="24"/>
          <w:shd w:val="clear" w:color="auto" w:fill="FFFFFF"/>
        </w:rPr>
        <w:t xml:space="preserve"> </w:t>
      </w:r>
      <w:r w:rsidR="00ED423F" w:rsidRPr="002C5F8B">
        <w:rPr>
          <w:i/>
        </w:rPr>
        <w:t>Considerar</w:t>
      </w:r>
      <w:r w:rsidR="006050C3" w:rsidRPr="002C5F8B">
        <w:rPr>
          <w:i/>
        </w:rPr>
        <w:t xml:space="preserve"> estrategia liberal en las siguientes situacione</w:t>
      </w:r>
      <w:r w:rsidR="00A627F9">
        <w:rPr>
          <w:i/>
        </w:rPr>
        <w:t xml:space="preserve">s </w:t>
      </w:r>
      <w:r w:rsidR="00A627F9">
        <w:rPr>
          <w:rStyle w:val="elsevierstylesection"/>
        </w:rPr>
        <w:t>(umbral recomendado Hb</w:t>
      </w:r>
      <w:r w:rsidR="00754B98">
        <w:rPr>
          <w:rStyle w:val="elsevierstylesection"/>
        </w:rPr>
        <w:t xml:space="preserve"> </w:t>
      </w:r>
      <w:r w:rsidR="00A627F9">
        <w:rPr>
          <w:rStyle w:val="elsevierstylesection"/>
        </w:rPr>
        <w:t>8–10g/dl)</w:t>
      </w:r>
      <w:r w:rsidR="006050C3" w:rsidRPr="00873073">
        <w:t>:</w:t>
      </w:r>
      <w:r w:rsidR="002C5F8B">
        <w:t xml:space="preserve"> </w:t>
      </w:r>
      <w:r w:rsidR="006050C3" w:rsidRPr="002C5F8B">
        <w:rPr>
          <w:szCs w:val="24"/>
        </w:rPr>
        <w:t>Isquemia aguda cardiaca: manifesta</w:t>
      </w:r>
      <w:r w:rsidR="00212ACD">
        <w:rPr>
          <w:szCs w:val="24"/>
        </w:rPr>
        <w:t>da como índice cardiaco elevado</w:t>
      </w:r>
      <w:r w:rsidR="00212ACD">
        <w:t>; d</w:t>
      </w:r>
      <w:r w:rsidR="00212ACD">
        <w:rPr>
          <w:szCs w:val="24"/>
        </w:rPr>
        <w:t>ificultad para realizar</w:t>
      </w:r>
      <w:r w:rsidR="006050C3" w:rsidRPr="002C5F8B">
        <w:rPr>
          <w:szCs w:val="24"/>
        </w:rPr>
        <w:t xml:space="preserve"> destete de la ventilación mecánica: cuando existe compromiso grave de la ventilación, debilidad de los músculos respiratorios, a</w:t>
      </w:r>
      <w:r w:rsidR="00212ACD">
        <w:rPr>
          <w:szCs w:val="24"/>
        </w:rPr>
        <w:t xml:space="preserve">lto volumen minuto respiratorio; </w:t>
      </w:r>
      <w:r w:rsidR="006050C3" w:rsidRPr="002C5F8B">
        <w:rPr>
          <w:szCs w:val="24"/>
        </w:rPr>
        <w:t>shock séptico, o sepsis severa: en las primeras 6 horas, formando parte de la terapia dirigida por</w:t>
      </w:r>
      <w:r w:rsidR="00C86F66">
        <w:rPr>
          <w:szCs w:val="24"/>
        </w:rPr>
        <w:t xml:space="preserve"> metas</w:t>
      </w:r>
      <w:r w:rsidR="006050C3" w:rsidRPr="002C5F8B">
        <w:rPr>
          <w:szCs w:val="24"/>
        </w:rPr>
        <w:t>.</w:t>
      </w:r>
      <w:r w:rsidR="003D37D3">
        <w:rPr>
          <w:szCs w:val="24"/>
        </w:rPr>
        <w:t xml:space="preserve"> </w:t>
      </w:r>
    </w:p>
    <w:p w14:paraId="4A0F0525" w14:textId="77777777" w:rsidR="006050C3" w:rsidRPr="00055EE2" w:rsidRDefault="006050C3" w:rsidP="00153235">
      <w:pPr>
        <w:pStyle w:val="Ttulo1"/>
        <w:spacing w:before="0"/>
        <w:rPr>
          <w:rFonts w:ascii="Times New Roman" w:hAnsi="Times New Roman" w:cs="Times New Roman"/>
          <w:color w:val="auto"/>
          <w:sz w:val="24"/>
          <w:szCs w:val="24"/>
          <w:lang w:val="en-US"/>
        </w:rPr>
      </w:pPr>
      <w:bookmarkStart w:id="22" w:name="_Toc431407927"/>
      <w:r w:rsidRPr="00055EE2">
        <w:rPr>
          <w:rFonts w:ascii="Times New Roman" w:hAnsi="Times New Roman" w:cs="Times New Roman"/>
          <w:color w:val="auto"/>
          <w:sz w:val="24"/>
          <w:szCs w:val="24"/>
          <w:lang w:val="en-US"/>
        </w:rPr>
        <w:t>BIBLIOGRAFÍA</w:t>
      </w:r>
      <w:bookmarkEnd w:id="22"/>
    </w:p>
    <w:p w14:paraId="3D4529EB" w14:textId="77777777" w:rsidR="006050C3" w:rsidRPr="00055EE2" w:rsidRDefault="006050C3" w:rsidP="00D712E0">
      <w:pPr>
        <w:shd w:val="clear" w:color="auto" w:fill="FFFFFF"/>
        <w:spacing w:line="300" w:lineRule="atLeast"/>
        <w:jc w:val="both"/>
        <w:rPr>
          <w:color w:val="auto"/>
          <w:szCs w:val="24"/>
          <w:lang w:val="en-US"/>
        </w:rPr>
      </w:pPr>
      <w:r w:rsidRPr="00055EE2">
        <w:rPr>
          <w:rFonts w:eastAsia="Times New Roman"/>
          <w:color w:val="auto"/>
          <w:szCs w:val="24"/>
          <w:lang w:val="en-US" w:eastAsia="es-AR"/>
        </w:rPr>
        <w:t>1. Von Ahsen N, Müller C, Serke S, T Frei, Eckardt KU.</w:t>
      </w:r>
      <w:r w:rsidRPr="00055EE2">
        <w:rPr>
          <w:color w:val="auto"/>
          <w:szCs w:val="24"/>
          <w:shd w:val="clear" w:color="auto" w:fill="FFFFFF"/>
          <w:lang w:val="en-US"/>
        </w:rPr>
        <w:t xml:space="preserve"> Important role of nondiagnostic blood loss and blunted erythropoietic response in the anemia of medical intensive care pa</w:t>
      </w:r>
      <w:r w:rsidR="00153235" w:rsidRPr="00055EE2">
        <w:rPr>
          <w:color w:val="auto"/>
          <w:szCs w:val="24"/>
          <w:shd w:val="clear" w:color="auto" w:fill="FFFFFF"/>
          <w:lang w:val="en-US"/>
        </w:rPr>
        <w:t>tients. Crit Care Med. 1999; 27</w:t>
      </w:r>
      <w:r w:rsidRPr="00055EE2">
        <w:rPr>
          <w:color w:val="auto"/>
          <w:szCs w:val="24"/>
          <w:shd w:val="clear" w:color="auto" w:fill="FFFFFF"/>
          <w:lang w:val="en-US"/>
        </w:rPr>
        <w:t xml:space="preserve">:2630–2639. </w:t>
      </w:r>
    </w:p>
    <w:p w14:paraId="2165EF2B" w14:textId="77777777" w:rsidR="006050C3" w:rsidRPr="00055EE2" w:rsidRDefault="006050C3" w:rsidP="006050C3">
      <w:pPr>
        <w:spacing w:after="0" w:line="240" w:lineRule="auto"/>
        <w:jc w:val="both"/>
        <w:rPr>
          <w:rFonts w:eastAsia="Times New Roman"/>
          <w:color w:val="auto"/>
          <w:szCs w:val="24"/>
          <w:lang w:val="en-US" w:eastAsia="es-AR"/>
        </w:rPr>
      </w:pPr>
      <w:r w:rsidRPr="00055EE2">
        <w:rPr>
          <w:rFonts w:eastAsia="Times New Roman"/>
          <w:color w:val="auto"/>
          <w:szCs w:val="24"/>
          <w:lang w:val="en-US" w:eastAsia="es-AR"/>
        </w:rPr>
        <w:t>2. Corwin NS</w:t>
      </w:r>
      <w:r w:rsidR="00153235" w:rsidRPr="00055EE2">
        <w:rPr>
          <w:rFonts w:eastAsia="Times New Roman"/>
          <w:color w:val="auto"/>
          <w:szCs w:val="24"/>
          <w:lang w:val="en-US" w:eastAsia="es-AR"/>
        </w:rPr>
        <w:t>, Gettinger A, Perla RG, et al.</w:t>
      </w:r>
      <w:r w:rsidRPr="00055EE2">
        <w:rPr>
          <w:rFonts w:eastAsia="Times New Roman"/>
          <w:color w:val="auto"/>
          <w:szCs w:val="24"/>
          <w:lang w:val="en-US" w:eastAsia="es-AR"/>
        </w:rPr>
        <w:t xml:space="preserve"> </w:t>
      </w:r>
      <w:r w:rsidRPr="00055EE2">
        <w:rPr>
          <w:color w:val="auto"/>
          <w:szCs w:val="24"/>
          <w:shd w:val="clear" w:color="auto" w:fill="FFFFFF"/>
          <w:lang w:val="en-US"/>
        </w:rPr>
        <w:t>The CRIT Study: Anemia and blood tra</w:t>
      </w:r>
      <w:r w:rsidR="00153235" w:rsidRPr="00055EE2">
        <w:rPr>
          <w:color w:val="auto"/>
          <w:szCs w:val="24"/>
          <w:shd w:val="clear" w:color="auto" w:fill="FFFFFF"/>
          <w:lang w:val="en-US"/>
        </w:rPr>
        <w:t>nsfusion in the critically ill-</w:t>
      </w:r>
      <w:r w:rsidRPr="00055EE2">
        <w:rPr>
          <w:color w:val="auto"/>
          <w:szCs w:val="24"/>
          <w:shd w:val="clear" w:color="auto" w:fill="FFFFFF"/>
          <w:lang w:val="en-US"/>
        </w:rPr>
        <w:t xml:space="preserve">current clinical practice in the United States. </w:t>
      </w:r>
      <w:r w:rsidRPr="00055EE2">
        <w:rPr>
          <w:rFonts w:eastAsia="Times New Roman"/>
          <w:iCs/>
          <w:color w:val="auto"/>
          <w:szCs w:val="24"/>
          <w:lang w:val="en-US" w:eastAsia="es-AR"/>
        </w:rPr>
        <w:t>Crit Care Med</w:t>
      </w:r>
      <w:r w:rsidRPr="00055EE2">
        <w:rPr>
          <w:rFonts w:eastAsia="Times New Roman"/>
          <w:color w:val="auto"/>
          <w:szCs w:val="24"/>
          <w:lang w:val="en-US" w:eastAsia="es-AR"/>
        </w:rPr>
        <w:t xml:space="preserve">. 2004; 32: 39-52 </w:t>
      </w:r>
    </w:p>
    <w:p w14:paraId="5E951372" w14:textId="77777777" w:rsidR="006050C3" w:rsidRPr="00055EE2" w:rsidRDefault="006050C3" w:rsidP="00D712E0">
      <w:pPr>
        <w:jc w:val="both"/>
        <w:rPr>
          <w:rFonts w:eastAsia="Times New Roman"/>
          <w:color w:val="auto"/>
          <w:szCs w:val="24"/>
          <w:lang w:val="en-US" w:eastAsia="es-AR"/>
        </w:rPr>
      </w:pPr>
      <w:r w:rsidRPr="00055EE2">
        <w:rPr>
          <w:rFonts w:eastAsia="Times New Roman"/>
          <w:color w:val="auto"/>
          <w:szCs w:val="24"/>
          <w:lang w:val="en-US" w:eastAsia="es-AR"/>
        </w:rPr>
        <w:t>3. J.L. Vincent,J.F. Baron,K. Reinhart,L. Gattinoni,L. Thijs,A. Webb Anemia and blood transfusion in critically ill patients . JAMA, 2002; 288: 1499-1507</w:t>
      </w:r>
    </w:p>
    <w:p w14:paraId="1817D98D" w14:textId="77777777" w:rsidR="006050C3" w:rsidRPr="00055EE2" w:rsidRDefault="006050C3" w:rsidP="006050C3">
      <w:pPr>
        <w:spacing w:after="0" w:line="240" w:lineRule="auto"/>
        <w:jc w:val="both"/>
        <w:rPr>
          <w:color w:val="auto"/>
          <w:szCs w:val="24"/>
          <w:lang w:val="en-US"/>
        </w:rPr>
      </w:pPr>
      <w:r w:rsidRPr="00055EE2">
        <w:rPr>
          <w:rFonts w:eastAsia="Times New Roman"/>
          <w:color w:val="auto"/>
          <w:szCs w:val="24"/>
          <w:lang w:val="en-US" w:eastAsia="es-AR"/>
        </w:rPr>
        <w:t xml:space="preserve">4. </w:t>
      </w:r>
      <w:r w:rsidR="00153235" w:rsidRPr="00055EE2">
        <w:rPr>
          <w:color w:val="auto"/>
          <w:szCs w:val="24"/>
          <w:shd w:val="clear" w:color="auto" w:fill="FFFFFF"/>
          <w:lang w:val="en-US"/>
        </w:rPr>
        <w:t>Kamran Athar, Nitin Puri</w:t>
      </w:r>
      <w:r w:rsidRPr="00055EE2">
        <w:rPr>
          <w:color w:val="auto"/>
          <w:szCs w:val="24"/>
          <w:shd w:val="clear" w:color="auto" w:fill="FFFFFF"/>
          <w:lang w:val="en-US"/>
        </w:rPr>
        <w:t>, David R . Gerber.</w:t>
      </w:r>
      <w:r w:rsidRPr="00055EE2">
        <w:rPr>
          <w:rFonts w:eastAsia="Times New Roman"/>
          <w:color w:val="auto"/>
          <w:szCs w:val="24"/>
          <w:lang w:val="en-US" w:eastAsia="es-AR"/>
        </w:rPr>
        <w:t xml:space="preserve">  </w:t>
      </w:r>
      <w:r w:rsidRPr="00055EE2">
        <w:rPr>
          <w:color w:val="auto"/>
          <w:szCs w:val="24"/>
          <w:shd w:val="clear" w:color="auto" w:fill="FFFFFF"/>
          <w:lang w:val="en-US"/>
        </w:rPr>
        <w:t>Anemia and Blood Transfusions in Critically  Patients.</w:t>
      </w:r>
      <w:r w:rsidRPr="00055EE2">
        <w:rPr>
          <w:rFonts w:eastAsia="Times New Roman"/>
          <w:color w:val="auto"/>
          <w:szCs w:val="24"/>
          <w:lang w:val="en-US" w:eastAsia="es-AR"/>
        </w:rPr>
        <w:t xml:space="preserve"> </w:t>
      </w:r>
      <w:r w:rsidR="00153235" w:rsidRPr="00055EE2">
        <w:rPr>
          <w:color w:val="auto"/>
          <w:szCs w:val="24"/>
          <w:shd w:val="clear" w:color="auto" w:fill="FFFFFF"/>
          <w:lang w:val="en-US"/>
        </w:rPr>
        <w:t>Journal of Blood Transfusion</w:t>
      </w:r>
      <w:r w:rsidRPr="00055EE2">
        <w:rPr>
          <w:color w:val="auto"/>
          <w:szCs w:val="24"/>
          <w:shd w:val="clear" w:color="auto" w:fill="FFFFFF"/>
          <w:lang w:val="en-US"/>
        </w:rPr>
        <w:t>,</w:t>
      </w:r>
      <w:r w:rsidR="00153235" w:rsidRPr="00055EE2">
        <w:rPr>
          <w:color w:val="auto"/>
          <w:szCs w:val="24"/>
          <w:shd w:val="clear" w:color="auto" w:fill="FFFFFF"/>
          <w:lang w:val="en-US"/>
        </w:rPr>
        <w:t xml:space="preserve"> 2012, DOI: 10.1155/2012/629204</w:t>
      </w:r>
      <w:r w:rsidRPr="00055EE2">
        <w:rPr>
          <w:color w:val="auto"/>
          <w:szCs w:val="24"/>
          <w:shd w:val="clear" w:color="auto" w:fill="FFFFFF"/>
          <w:lang w:val="en-US"/>
        </w:rPr>
        <w:t xml:space="preserve">. </w:t>
      </w:r>
    </w:p>
    <w:p w14:paraId="6601C798" w14:textId="77777777" w:rsidR="006050C3" w:rsidRPr="00055EE2" w:rsidRDefault="006050C3" w:rsidP="006050C3">
      <w:pPr>
        <w:jc w:val="both"/>
        <w:rPr>
          <w:rFonts w:eastAsia="Times New Roman"/>
          <w:color w:val="auto"/>
          <w:szCs w:val="24"/>
          <w:lang w:val="en-US" w:eastAsia="es-AR"/>
        </w:rPr>
      </w:pPr>
      <w:r w:rsidRPr="00055EE2">
        <w:rPr>
          <w:rFonts w:eastAsia="Times New Roman"/>
          <w:color w:val="auto"/>
          <w:szCs w:val="24"/>
          <w:lang w:val="en-US" w:eastAsia="es-AR"/>
        </w:rPr>
        <w:t>5. A.A. Khorana, C.W. Francis, N. Blumberg, E. Culakova, M.A. Refaai, G.H. Lyman Blood transfusions, thrombosis, and mortality in hospitalized patients with cancer. Arch Intern Med, 2008;168: 2377-2381</w:t>
      </w:r>
    </w:p>
    <w:p w14:paraId="6D52F619" w14:textId="77777777" w:rsidR="006050C3" w:rsidRPr="00055EE2" w:rsidRDefault="006050C3" w:rsidP="006050C3">
      <w:pPr>
        <w:jc w:val="both"/>
        <w:rPr>
          <w:rFonts w:eastAsia="Times New Roman"/>
          <w:color w:val="auto"/>
          <w:szCs w:val="24"/>
          <w:lang w:val="es-ES" w:eastAsia="es-AR"/>
        </w:rPr>
      </w:pPr>
      <w:r w:rsidRPr="00055EE2">
        <w:rPr>
          <w:rFonts w:eastAsia="Times New Roman"/>
          <w:color w:val="auto"/>
          <w:szCs w:val="24"/>
          <w:lang w:val="en-US" w:eastAsia="es-AR"/>
        </w:rPr>
        <w:t xml:space="preserve">6. P.E. Marik H.L. Corwin Efficacy of red blood cell transfusion in the critically ill: a systematic review of the literature. </w:t>
      </w:r>
      <w:r w:rsidRPr="00055EE2">
        <w:rPr>
          <w:rFonts w:eastAsia="Times New Roman"/>
          <w:color w:val="auto"/>
          <w:szCs w:val="24"/>
          <w:lang w:val="es-ES" w:eastAsia="es-AR"/>
        </w:rPr>
        <w:t>Crit Care Med, 2008; 36: 1-8</w:t>
      </w:r>
    </w:p>
    <w:p w14:paraId="22B7FBCB" w14:textId="77777777" w:rsidR="006050C3" w:rsidRPr="00055EE2" w:rsidRDefault="006050C3" w:rsidP="006050C3">
      <w:pPr>
        <w:jc w:val="both"/>
        <w:rPr>
          <w:rFonts w:eastAsia="Times New Roman"/>
          <w:color w:val="auto"/>
          <w:szCs w:val="24"/>
          <w:lang w:val="en-US" w:eastAsia="es-AR"/>
        </w:rPr>
      </w:pPr>
      <w:r w:rsidRPr="00055EE2">
        <w:rPr>
          <w:rFonts w:eastAsia="Times New Roman"/>
          <w:color w:val="auto"/>
          <w:szCs w:val="24"/>
          <w:lang w:eastAsia="es-AR"/>
        </w:rPr>
        <w:t>7. S.R. Leal-Noval, M. Muñoz, A. Campanario Tran</w:t>
      </w:r>
      <w:r w:rsidR="00153235" w:rsidRPr="00055EE2">
        <w:rPr>
          <w:rFonts w:eastAsia="Times New Roman"/>
          <w:color w:val="auto"/>
          <w:szCs w:val="24"/>
          <w:lang w:eastAsia="es-AR"/>
        </w:rPr>
        <w:t>sfusión en el paciente crítico.</w:t>
      </w:r>
      <w:r w:rsidRPr="00055EE2">
        <w:rPr>
          <w:rFonts w:eastAsia="Times New Roman"/>
          <w:color w:val="auto"/>
          <w:szCs w:val="24"/>
          <w:lang w:eastAsia="es-AR"/>
        </w:rPr>
        <w:t xml:space="preserve"> </w:t>
      </w:r>
      <w:r w:rsidRPr="00055EE2">
        <w:rPr>
          <w:rFonts w:eastAsia="Times New Roman"/>
          <w:color w:val="auto"/>
          <w:szCs w:val="24"/>
          <w:lang w:val="en-US" w:eastAsia="es-AR"/>
        </w:rPr>
        <w:t xml:space="preserve">Med Intensiva, 2004; 28: 464-469 </w:t>
      </w:r>
    </w:p>
    <w:p w14:paraId="07436501" w14:textId="77777777" w:rsidR="006050C3" w:rsidRPr="00055EE2" w:rsidRDefault="006050C3" w:rsidP="006050C3">
      <w:pPr>
        <w:spacing w:after="0" w:line="240" w:lineRule="auto"/>
        <w:jc w:val="both"/>
        <w:rPr>
          <w:rFonts w:eastAsia="Times New Roman"/>
          <w:color w:val="auto"/>
          <w:szCs w:val="24"/>
          <w:lang w:val="en-US" w:eastAsia="es-AR"/>
        </w:rPr>
      </w:pPr>
      <w:r w:rsidRPr="00055EE2">
        <w:rPr>
          <w:rFonts w:eastAsia="Times New Roman"/>
          <w:color w:val="auto"/>
          <w:szCs w:val="24"/>
          <w:lang w:val="en-US" w:eastAsia="es-AR"/>
        </w:rPr>
        <w:t xml:space="preserve">8. </w:t>
      </w:r>
      <w:hyperlink r:id="rId8" w:history="1">
        <w:r w:rsidRPr="00055EE2">
          <w:rPr>
            <w:rStyle w:val="Hipervnculo"/>
            <w:color w:val="auto"/>
            <w:szCs w:val="24"/>
            <w:shd w:val="clear" w:color="auto" w:fill="FFFFFF"/>
            <w:lang w:val="en-US"/>
          </w:rPr>
          <w:t>Carson JL</w:t>
        </w:r>
      </w:hyperlink>
      <w:r w:rsidRPr="00055EE2">
        <w:rPr>
          <w:color w:val="auto"/>
          <w:szCs w:val="24"/>
          <w:shd w:val="clear" w:color="auto" w:fill="FFFFFF"/>
          <w:lang w:val="en-US"/>
        </w:rPr>
        <w:t>,</w:t>
      </w:r>
      <w:r w:rsidRPr="00055EE2">
        <w:rPr>
          <w:rStyle w:val="apple-converted-space"/>
          <w:color w:val="auto"/>
          <w:szCs w:val="24"/>
          <w:shd w:val="clear" w:color="auto" w:fill="FFFFFF"/>
          <w:lang w:val="en-US"/>
        </w:rPr>
        <w:t> </w:t>
      </w:r>
      <w:hyperlink r:id="rId9" w:history="1">
        <w:r w:rsidRPr="00055EE2">
          <w:rPr>
            <w:rStyle w:val="Hipervnculo"/>
            <w:color w:val="auto"/>
            <w:szCs w:val="24"/>
            <w:shd w:val="clear" w:color="auto" w:fill="FFFFFF"/>
            <w:lang w:val="en-US"/>
          </w:rPr>
          <w:t>Carless PA</w:t>
        </w:r>
      </w:hyperlink>
      <w:r w:rsidRPr="00055EE2">
        <w:rPr>
          <w:color w:val="auto"/>
          <w:szCs w:val="24"/>
          <w:shd w:val="clear" w:color="auto" w:fill="FFFFFF"/>
          <w:lang w:val="en-US"/>
        </w:rPr>
        <w:t>,</w:t>
      </w:r>
      <w:r w:rsidRPr="00055EE2">
        <w:rPr>
          <w:rStyle w:val="apple-converted-space"/>
          <w:color w:val="auto"/>
          <w:szCs w:val="24"/>
          <w:shd w:val="clear" w:color="auto" w:fill="FFFFFF"/>
          <w:lang w:val="en-US"/>
        </w:rPr>
        <w:t> </w:t>
      </w:r>
      <w:hyperlink r:id="rId10" w:history="1">
        <w:r w:rsidRPr="00055EE2">
          <w:rPr>
            <w:rStyle w:val="Hipervnculo"/>
            <w:color w:val="auto"/>
            <w:szCs w:val="24"/>
            <w:shd w:val="clear" w:color="auto" w:fill="FFFFFF"/>
            <w:lang w:val="en-US"/>
          </w:rPr>
          <w:t>Hebert PC</w:t>
        </w:r>
      </w:hyperlink>
      <w:r w:rsidRPr="00055EE2">
        <w:rPr>
          <w:color w:val="auto"/>
          <w:szCs w:val="24"/>
          <w:shd w:val="clear" w:color="auto" w:fill="FFFFFF"/>
          <w:lang w:val="en-US"/>
        </w:rPr>
        <w:t xml:space="preserve">. </w:t>
      </w:r>
      <w:r w:rsidRPr="00055EE2">
        <w:rPr>
          <w:color w:val="auto"/>
          <w:szCs w:val="24"/>
          <w:lang w:val="en-US"/>
        </w:rPr>
        <w:t>Transfusion thresholds and other strategies for guiding allogeneic red blood cell transfusion.</w:t>
      </w:r>
      <w:r w:rsidRPr="00055EE2">
        <w:rPr>
          <w:color w:val="auto"/>
          <w:szCs w:val="24"/>
          <w:shd w:val="clear" w:color="auto" w:fill="FFFFFF"/>
          <w:lang w:val="en-US"/>
        </w:rPr>
        <w:t xml:space="preserve"> </w:t>
      </w:r>
      <w:hyperlink r:id="rId11" w:tooltip="The Cochrane database of systematic reviews." w:history="1">
        <w:r w:rsidRPr="00055EE2">
          <w:rPr>
            <w:rStyle w:val="Hipervnculo"/>
            <w:color w:val="auto"/>
            <w:szCs w:val="24"/>
            <w:shd w:val="clear" w:color="auto" w:fill="FFFFFF"/>
            <w:lang w:val="en-US"/>
          </w:rPr>
          <w:t>Cochrane Database Syst Rev.</w:t>
        </w:r>
      </w:hyperlink>
      <w:r w:rsidRPr="00055EE2">
        <w:rPr>
          <w:rStyle w:val="apple-converted-space"/>
          <w:color w:val="auto"/>
          <w:szCs w:val="24"/>
          <w:shd w:val="clear" w:color="auto" w:fill="FFFFFF"/>
          <w:lang w:val="en-US"/>
        </w:rPr>
        <w:t> </w:t>
      </w:r>
      <w:r w:rsidRPr="00055EE2">
        <w:rPr>
          <w:color w:val="auto"/>
          <w:szCs w:val="24"/>
          <w:shd w:val="clear" w:color="auto" w:fill="FFFFFF"/>
          <w:lang w:val="en-US"/>
        </w:rPr>
        <w:t>2012; 18:4-9</w:t>
      </w:r>
    </w:p>
    <w:p w14:paraId="3F868B10" w14:textId="77777777" w:rsidR="006050C3" w:rsidRPr="00055EE2" w:rsidRDefault="006050C3" w:rsidP="006050C3">
      <w:pPr>
        <w:spacing w:after="0" w:line="240" w:lineRule="auto"/>
        <w:rPr>
          <w:rFonts w:eastAsia="Times New Roman"/>
          <w:color w:val="auto"/>
          <w:szCs w:val="24"/>
          <w:lang w:val="en-US" w:eastAsia="es-AR"/>
        </w:rPr>
      </w:pPr>
    </w:p>
    <w:p w14:paraId="2791CB64" w14:textId="77777777" w:rsidR="006050C3" w:rsidRPr="00055EE2" w:rsidRDefault="006050C3" w:rsidP="006050C3">
      <w:pPr>
        <w:jc w:val="both"/>
        <w:rPr>
          <w:rStyle w:val="element-citation"/>
          <w:color w:val="auto"/>
          <w:szCs w:val="24"/>
          <w:lang w:val="en-US"/>
        </w:rPr>
      </w:pPr>
      <w:r w:rsidRPr="00055EE2">
        <w:rPr>
          <w:rFonts w:eastAsia="Times New Roman"/>
          <w:color w:val="auto"/>
          <w:szCs w:val="24"/>
          <w:lang w:val="en-US" w:eastAsia="es-AR"/>
        </w:rPr>
        <w:t>9</w:t>
      </w:r>
      <w:r w:rsidRPr="00055EE2">
        <w:rPr>
          <w:rStyle w:val="element-citation"/>
          <w:color w:val="auto"/>
          <w:szCs w:val="24"/>
          <w:lang w:val="en-US"/>
        </w:rPr>
        <w:t>.</w:t>
      </w:r>
      <w:r w:rsidRPr="00055EE2">
        <w:rPr>
          <w:color w:val="auto"/>
          <w:szCs w:val="24"/>
          <w:shd w:val="clear" w:color="auto" w:fill="FFFFFF"/>
          <w:lang w:val="en-US"/>
        </w:rPr>
        <w:t xml:space="preserve"> Brown RB, Klar J, Teres D, Lemeshow S, Sands M. </w:t>
      </w:r>
      <w:r w:rsidRPr="00055EE2">
        <w:rPr>
          <w:rStyle w:val="element-citation"/>
          <w:color w:val="auto"/>
          <w:szCs w:val="24"/>
          <w:lang w:val="en-US"/>
        </w:rPr>
        <w:t xml:space="preserve">   </w:t>
      </w:r>
      <w:r w:rsidRPr="00055EE2">
        <w:rPr>
          <w:color w:val="auto"/>
          <w:szCs w:val="24"/>
          <w:shd w:val="clear" w:color="auto" w:fill="FFFFFF"/>
          <w:lang w:val="en-US"/>
        </w:rPr>
        <w:t xml:space="preserve">Prospective study of clinical bleeding in intensive care unit patients. Crit Care Med. 1988; 16:1171-6. </w:t>
      </w:r>
    </w:p>
    <w:p w14:paraId="1F34885B" w14:textId="77777777" w:rsidR="006050C3" w:rsidRPr="00055EE2" w:rsidRDefault="006050C3" w:rsidP="006050C3">
      <w:pPr>
        <w:jc w:val="both"/>
        <w:rPr>
          <w:rStyle w:val="nowrap"/>
          <w:color w:val="auto"/>
          <w:szCs w:val="24"/>
          <w:lang w:val="en-US"/>
        </w:rPr>
      </w:pPr>
      <w:r w:rsidRPr="00055EE2">
        <w:rPr>
          <w:color w:val="auto"/>
          <w:szCs w:val="24"/>
          <w:lang w:val="en-US"/>
        </w:rPr>
        <w:t xml:space="preserve">10. Corwin HL, Parsonnet KC, Gettinger A. RBC transfusion in the ICU: is there a reason? Chest. 1995; 108:767-771 </w:t>
      </w:r>
    </w:p>
    <w:p w14:paraId="3D5FDA68" w14:textId="77777777" w:rsidR="00D712E0" w:rsidRPr="00055EE2" w:rsidRDefault="006050C3" w:rsidP="00D712E0">
      <w:pPr>
        <w:jc w:val="both"/>
        <w:rPr>
          <w:color w:val="auto"/>
          <w:shd w:val="clear" w:color="auto" w:fill="FFFFFF"/>
          <w:lang w:val="en-US"/>
        </w:rPr>
      </w:pPr>
      <w:r w:rsidRPr="00055EE2">
        <w:rPr>
          <w:color w:val="auto"/>
          <w:lang w:val="en-US"/>
        </w:rPr>
        <w:lastRenderedPageBreak/>
        <w:t xml:space="preserve">11. </w:t>
      </w:r>
      <w:r w:rsidRPr="00055EE2">
        <w:rPr>
          <w:rStyle w:val="element-citation"/>
          <w:color w:val="auto"/>
          <w:szCs w:val="24"/>
          <w:lang w:val="en-US"/>
        </w:rPr>
        <w:t xml:space="preserve">Campillo B, Zittoun J, De Gialluly E.  </w:t>
      </w:r>
      <w:r w:rsidRPr="00055EE2">
        <w:rPr>
          <w:color w:val="auto"/>
          <w:lang w:val="en-US"/>
        </w:rPr>
        <w:t>Prophylaxis of folate deficiency in acutely ill patients: results of a randomized clinical trial.</w:t>
      </w:r>
      <w:r w:rsidRPr="00055EE2">
        <w:rPr>
          <w:color w:val="auto"/>
          <w:shd w:val="clear" w:color="auto" w:fill="FFFFFF"/>
          <w:lang w:val="en-US"/>
        </w:rPr>
        <w:t xml:space="preserve"> </w:t>
      </w:r>
      <w:hyperlink r:id="rId12" w:tooltip="Intensive care medicine." w:history="1">
        <w:r w:rsidRPr="00055EE2">
          <w:rPr>
            <w:rStyle w:val="Hipervnculo"/>
            <w:color w:val="auto"/>
            <w:szCs w:val="24"/>
            <w:shd w:val="clear" w:color="auto" w:fill="FFFFFF"/>
            <w:lang w:val="en-US"/>
          </w:rPr>
          <w:t>Intensive Care Med.</w:t>
        </w:r>
      </w:hyperlink>
      <w:r w:rsidRPr="00055EE2">
        <w:rPr>
          <w:rStyle w:val="apple-converted-space"/>
          <w:color w:val="auto"/>
          <w:szCs w:val="24"/>
          <w:shd w:val="clear" w:color="auto" w:fill="FFFFFF"/>
          <w:lang w:val="en-US"/>
        </w:rPr>
        <w:t> </w:t>
      </w:r>
      <w:r w:rsidRPr="00055EE2">
        <w:rPr>
          <w:color w:val="auto"/>
          <w:shd w:val="clear" w:color="auto" w:fill="FFFFFF"/>
          <w:lang w:val="en-US"/>
        </w:rPr>
        <w:t>1988; 14:640-5</w:t>
      </w:r>
    </w:p>
    <w:p w14:paraId="214AAF56" w14:textId="77777777" w:rsidR="006050C3" w:rsidRPr="00055EE2" w:rsidRDefault="006050C3" w:rsidP="006050C3">
      <w:pPr>
        <w:jc w:val="both"/>
        <w:rPr>
          <w:color w:val="auto"/>
          <w:szCs w:val="24"/>
          <w:lang w:val="en-US"/>
        </w:rPr>
      </w:pPr>
      <w:r w:rsidRPr="00055EE2">
        <w:rPr>
          <w:color w:val="auto"/>
          <w:szCs w:val="24"/>
          <w:lang w:val="en-US"/>
        </w:rPr>
        <w:t>12.</w:t>
      </w:r>
      <w:r w:rsidRPr="00055EE2">
        <w:rPr>
          <w:color w:val="auto"/>
          <w:szCs w:val="24"/>
          <w:shd w:val="clear" w:color="auto" w:fill="FFFFFF"/>
          <w:lang w:val="en-US"/>
        </w:rPr>
        <w:t xml:space="preserve"> Batge  B, Filejski W, Kurowski  V, Kluter  H, Djonlagic  H. Clostridial sepsis with massive intravascular hemolysis: rapid diagnosis and successful treatment. Intensive Care Med.</w:t>
      </w:r>
      <w:r w:rsidRPr="00055EE2">
        <w:rPr>
          <w:rStyle w:val="element-citation"/>
          <w:color w:val="auto"/>
          <w:szCs w:val="24"/>
          <w:lang w:val="en-US"/>
        </w:rPr>
        <w:t xml:space="preserve"> 1992;</w:t>
      </w:r>
      <w:r w:rsidRPr="00055EE2">
        <w:rPr>
          <w:rStyle w:val="apple-converted-space"/>
          <w:color w:val="auto"/>
          <w:szCs w:val="24"/>
          <w:lang w:val="en-US"/>
        </w:rPr>
        <w:t> </w:t>
      </w:r>
      <w:r w:rsidRPr="00055EE2">
        <w:rPr>
          <w:rStyle w:val="ref-vol"/>
          <w:color w:val="auto"/>
          <w:szCs w:val="24"/>
          <w:lang w:val="en-US"/>
        </w:rPr>
        <w:t>18</w:t>
      </w:r>
      <w:r w:rsidRPr="00055EE2">
        <w:rPr>
          <w:rStyle w:val="element-citation"/>
          <w:color w:val="auto"/>
          <w:szCs w:val="24"/>
          <w:lang w:val="en-US"/>
        </w:rPr>
        <w:t>: 488-490</w:t>
      </w:r>
      <w:r w:rsidRPr="00055EE2">
        <w:rPr>
          <w:rStyle w:val="apple-converted-space"/>
          <w:color w:val="auto"/>
          <w:szCs w:val="24"/>
          <w:lang w:val="en-US"/>
        </w:rPr>
        <w:t xml:space="preserve">  </w:t>
      </w:r>
    </w:p>
    <w:p w14:paraId="49352AC4" w14:textId="77777777" w:rsidR="006050C3" w:rsidRPr="00055EE2" w:rsidRDefault="006050C3" w:rsidP="006050C3">
      <w:pPr>
        <w:jc w:val="both"/>
        <w:rPr>
          <w:color w:val="auto"/>
          <w:szCs w:val="24"/>
          <w:lang w:val="en-US"/>
        </w:rPr>
      </w:pPr>
      <w:r w:rsidRPr="00055EE2">
        <w:rPr>
          <w:rStyle w:val="apple-converted-space"/>
          <w:color w:val="auto"/>
          <w:szCs w:val="24"/>
          <w:lang w:val="en-US"/>
        </w:rPr>
        <w:t> </w:t>
      </w:r>
      <w:r w:rsidRPr="00055EE2">
        <w:rPr>
          <w:color w:val="auto"/>
          <w:szCs w:val="24"/>
          <w:lang w:val="en-US"/>
        </w:rPr>
        <w:t>13. Smoller BR, Kruskall MS. Phlebotomy for diagnostic laboratory tests in adults. Pattern of use and effect on transfusion requirements. N Engl J Med. 1986; 314:1233-5.         </w:t>
      </w:r>
    </w:p>
    <w:p w14:paraId="17B687B5" w14:textId="77777777" w:rsidR="006050C3" w:rsidRPr="00055EE2" w:rsidRDefault="006050C3" w:rsidP="006050C3">
      <w:pPr>
        <w:pStyle w:val="NormalWeb"/>
        <w:jc w:val="both"/>
        <w:rPr>
          <w:color w:val="auto"/>
          <w:shd w:val="clear" w:color="auto" w:fill="FFFFFF"/>
          <w:lang w:val="en-US"/>
        </w:rPr>
      </w:pPr>
      <w:r w:rsidRPr="00055EE2">
        <w:rPr>
          <w:color w:val="auto"/>
          <w:lang w:val="en-US"/>
        </w:rPr>
        <w:t xml:space="preserve">14. </w:t>
      </w:r>
      <w:r w:rsidRPr="00055EE2">
        <w:rPr>
          <w:color w:val="auto"/>
          <w:shd w:val="clear" w:color="auto" w:fill="FFFFFF"/>
          <w:lang w:val="en-US"/>
        </w:rPr>
        <w:t xml:space="preserve">Chant C, Wilson G, Friedrich JO..Anemia, transfusion, and phlebotomy practices in critically ill patients with prolonged ICU length of stay: a cohort study.  Crit Care. </w:t>
      </w:r>
      <w:r w:rsidRPr="00055EE2">
        <w:rPr>
          <w:rStyle w:val="apple-converted-space"/>
          <w:i/>
          <w:iCs/>
          <w:color w:val="auto"/>
          <w:shd w:val="clear" w:color="auto" w:fill="FFFFFF"/>
          <w:lang w:val="en-US"/>
        </w:rPr>
        <w:t> </w:t>
      </w:r>
      <w:r w:rsidRPr="00055EE2">
        <w:rPr>
          <w:rStyle w:val="nfasis"/>
          <w:color w:val="auto"/>
          <w:shd w:val="clear" w:color="auto" w:fill="FFFFFF"/>
          <w:lang w:val="en-US"/>
        </w:rPr>
        <w:t xml:space="preserve">2006;10: R140. </w:t>
      </w:r>
    </w:p>
    <w:p w14:paraId="5080F0D0" w14:textId="77777777" w:rsidR="006050C3" w:rsidRPr="00055EE2" w:rsidRDefault="006050C3" w:rsidP="006050C3">
      <w:pPr>
        <w:pStyle w:val="NormalWeb"/>
        <w:jc w:val="both"/>
        <w:rPr>
          <w:color w:val="auto"/>
          <w:lang w:val="en-US"/>
        </w:rPr>
      </w:pPr>
      <w:r w:rsidRPr="00055EE2">
        <w:rPr>
          <w:color w:val="auto"/>
          <w:lang w:val="en-US"/>
        </w:rPr>
        <w:t>15. Spinelli E, Bartlett RH.</w:t>
      </w:r>
      <w:r w:rsidRPr="00055EE2">
        <w:rPr>
          <w:color w:val="auto"/>
          <w:shd w:val="clear" w:color="auto" w:fill="FFFFFF"/>
          <w:lang w:val="en-US"/>
        </w:rPr>
        <w:t xml:space="preserve"> Anemia and Transfusion in Critical Care: Physiology and Management. </w:t>
      </w:r>
      <w:r w:rsidRPr="00055EE2">
        <w:rPr>
          <w:color w:val="auto"/>
          <w:lang w:val="en-US"/>
        </w:rPr>
        <w:t xml:space="preserve"> J Intensive Care Med. 2015 feb 18</w:t>
      </w:r>
    </w:p>
    <w:p w14:paraId="7DA32F07" w14:textId="77777777" w:rsidR="006050C3" w:rsidRPr="00055EE2" w:rsidRDefault="006050C3" w:rsidP="006050C3">
      <w:pPr>
        <w:pStyle w:val="NormalWeb"/>
        <w:jc w:val="both"/>
        <w:rPr>
          <w:color w:val="auto"/>
          <w:lang w:val="es-ES"/>
        </w:rPr>
      </w:pPr>
      <w:r w:rsidRPr="00055EE2">
        <w:rPr>
          <w:color w:val="auto"/>
          <w:lang w:val="en-US"/>
        </w:rPr>
        <w:t xml:space="preserve">16. Von Ahsen N, Muller C, Serke S, Frei U, Eckardt KU. Important role of nondiagnostic blood loss and blunted erythropoietic response in the anemia of medical intensive care patients. </w:t>
      </w:r>
      <w:r w:rsidRPr="00055EE2">
        <w:rPr>
          <w:color w:val="auto"/>
        </w:rPr>
        <w:t>Crit Care Med. 1999;27:2630-9</w:t>
      </w:r>
    </w:p>
    <w:p w14:paraId="78502D14" w14:textId="77777777" w:rsidR="006050C3" w:rsidRPr="00055EE2" w:rsidRDefault="006050C3" w:rsidP="006050C3">
      <w:pPr>
        <w:pStyle w:val="NormalWeb"/>
        <w:jc w:val="both"/>
        <w:rPr>
          <w:color w:val="auto"/>
          <w:lang w:val="en-US"/>
        </w:rPr>
      </w:pPr>
      <w:r w:rsidRPr="00055EE2">
        <w:rPr>
          <w:color w:val="auto"/>
        </w:rPr>
        <w:t xml:space="preserve">17. Muñoz M , Leal-Noval S.R , Garcia-Erce J.A, Naveira E. Prevalencia y tratamiento de la anemia en el paciente crítico. </w:t>
      </w:r>
      <w:r w:rsidRPr="00055EE2">
        <w:rPr>
          <w:color w:val="auto"/>
          <w:lang w:val="en-US"/>
        </w:rPr>
        <w:t>Med Intensiva. 2007;31:388-98</w:t>
      </w:r>
    </w:p>
    <w:p w14:paraId="36DE5D1D" w14:textId="77777777" w:rsidR="006050C3" w:rsidRPr="00055EE2" w:rsidRDefault="006050C3" w:rsidP="006050C3">
      <w:pPr>
        <w:pStyle w:val="NormalWeb"/>
        <w:jc w:val="both"/>
        <w:rPr>
          <w:color w:val="auto"/>
          <w:lang w:val="en-US"/>
        </w:rPr>
      </w:pPr>
      <w:r w:rsidRPr="00055EE2">
        <w:rPr>
          <w:color w:val="auto"/>
          <w:lang w:val="en-US"/>
        </w:rPr>
        <w:t>18. Brian  krafte – Jacobs.</w:t>
      </w:r>
      <w:r w:rsidRPr="00055EE2">
        <w:rPr>
          <w:color w:val="auto"/>
          <w:shd w:val="clear" w:color="auto" w:fill="FFFFFF"/>
          <w:lang w:val="en-US"/>
        </w:rPr>
        <w:t xml:space="preserve"> Anemia of critical illness and erythropoietin deficiency</w:t>
      </w:r>
      <w:r w:rsidRPr="00055EE2">
        <w:rPr>
          <w:color w:val="auto"/>
          <w:lang w:val="en-US"/>
        </w:rPr>
        <w:t xml:space="preserve"> . Intensiva Care Med 1997;23:137-138 </w:t>
      </w:r>
    </w:p>
    <w:p w14:paraId="0BA6FD53" w14:textId="77777777" w:rsidR="006050C3" w:rsidRPr="00055EE2" w:rsidRDefault="006050C3" w:rsidP="006050C3">
      <w:pPr>
        <w:pStyle w:val="NormalWeb"/>
        <w:jc w:val="both"/>
        <w:rPr>
          <w:color w:val="auto"/>
          <w:lang w:val="en-US"/>
        </w:rPr>
      </w:pPr>
      <w:r w:rsidRPr="00055EE2">
        <w:rPr>
          <w:color w:val="auto"/>
          <w:lang w:val="en-US"/>
        </w:rPr>
        <w:t xml:space="preserve">19. Krafte-Jacobs B, Levetown ML, Bary GL,  </w:t>
      </w:r>
      <w:r w:rsidRPr="00055EE2">
        <w:rPr>
          <w:color w:val="auto"/>
          <w:shd w:val="clear" w:color="auto" w:fill="FFFFFF"/>
          <w:lang w:val="en-US"/>
        </w:rPr>
        <w:t>Ruttimann UE, Pollack MM.</w:t>
      </w:r>
      <w:r w:rsidRPr="00055EE2">
        <w:rPr>
          <w:color w:val="auto"/>
          <w:lang w:val="en-US"/>
        </w:rPr>
        <w:t xml:space="preserve"> Erythropoietin response to critical illness. Crit Care Med. 1994;22:821-6.         </w:t>
      </w:r>
    </w:p>
    <w:p w14:paraId="20512030" w14:textId="77777777" w:rsidR="006050C3" w:rsidRPr="00055EE2" w:rsidRDefault="006050C3" w:rsidP="006050C3">
      <w:pPr>
        <w:pStyle w:val="NormalWeb"/>
        <w:jc w:val="both"/>
        <w:rPr>
          <w:color w:val="auto"/>
          <w:lang w:val="en-US"/>
        </w:rPr>
      </w:pPr>
      <w:r w:rsidRPr="00055EE2">
        <w:rPr>
          <w:color w:val="auto"/>
          <w:lang w:val="en-US"/>
        </w:rPr>
        <w:t>20. Rogiers P, Zhang H, Leeman M,  et al. Erythropoietin response is blunted in critically ill patients. Crit Care Med. 1997;23:159-62.     </w:t>
      </w:r>
    </w:p>
    <w:p w14:paraId="634C8C67" w14:textId="77777777" w:rsidR="006050C3" w:rsidRPr="00055EE2" w:rsidRDefault="006050C3" w:rsidP="006050C3">
      <w:pPr>
        <w:pStyle w:val="NormalWeb"/>
        <w:jc w:val="both"/>
        <w:rPr>
          <w:color w:val="auto"/>
          <w:lang w:val="en-US"/>
        </w:rPr>
      </w:pPr>
      <w:r w:rsidRPr="00055EE2">
        <w:rPr>
          <w:color w:val="auto"/>
          <w:lang w:val="es-ES"/>
        </w:rPr>
        <w:t xml:space="preserve">21. Moldawer LL, </w:t>
      </w:r>
      <w:r w:rsidRPr="00055EE2">
        <w:rPr>
          <w:color w:val="auto"/>
          <w:shd w:val="clear" w:color="auto" w:fill="FFFFFF"/>
          <w:lang w:val="es-ES"/>
        </w:rPr>
        <w:t>Marano MA, Wei H, et al.</w:t>
      </w:r>
      <w:r w:rsidRPr="00055EE2">
        <w:rPr>
          <w:color w:val="auto"/>
          <w:lang w:val="es-ES"/>
        </w:rPr>
        <w:t xml:space="preserve">  </w:t>
      </w:r>
      <w:r w:rsidRPr="00055EE2">
        <w:rPr>
          <w:color w:val="auto"/>
          <w:shd w:val="clear" w:color="auto" w:fill="FFFFFF"/>
          <w:lang w:val="es-ES"/>
        </w:rPr>
        <w:t xml:space="preserve"> </w:t>
      </w:r>
      <w:r w:rsidRPr="00055EE2">
        <w:rPr>
          <w:color w:val="auto"/>
          <w:shd w:val="clear" w:color="auto" w:fill="FFFFFF"/>
          <w:lang w:val="en-US"/>
        </w:rPr>
        <w:t xml:space="preserve">Cachectin/tumor necrosis factor-alpha alters red blood cell kinetics and induces anemia in vivo. FASEB J. 1989, 3:1637-43 </w:t>
      </w:r>
    </w:p>
    <w:p w14:paraId="0AB349C0" w14:textId="77777777" w:rsidR="006050C3" w:rsidRPr="00055EE2" w:rsidRDefault="006050C3" w:rsidP="006050C3">
      <w:pPr>
        <w:pStyle w:val="NormalWeb"/>
        <w:jc w:val="both"/>
        <w:rPr>
          <w:color w:val="auto"/>
          <w:lang w:val="en-US"/>
        </w:rPr>
      </w:pPr>
      <w:r w:rsidRPr="00055EE2">
        <w:rPr>
          <w:color w:val="auto"/>
          <w:lang w:val="en-US"/>
        </w:rPr>
        <w:t>22. Elliot JM, Virankabutra T, Jones S, et al. Erythropoietin mimics the acute phase response in critical illness. Crit Care. 2003; 7:R35-40.         </w:t>
      </w:r>
    </w:p>
    <w:p w14:paraId="1B2107AB" w14:textId="77777777" w:rsidR="006050C3" w:rsidRPr="00055EE2" w:rsidRDefault="006050C3" w:rsidP="006050C3">
      <w:pPr>
        <w:pStyle w:val="NormalWeb"/>
        <w:jc w:val="both"/>
        <w:rPr>
          <w:color w:val="auto"/>
          <w:lang w:val="en-US"/>
        </w:rPr>
      </w:pPr>
      <w:r w:rsidRPr="00055EE2">
        <w:rPr>
          <w:color w:val="auto"/>
          <w:lang w:val="en-US"/>
        </w:rPr>
        <w:t>23. Gabriel A, Kozek S, Chiari A, et al. High-dose recombinant human erythropoietin stimulates reticulocyte production in patients with multiple organ dysfunction syndrome.</w:t>
      </w:r>
      <w:r w:rsidR="00A22FAA" w:rsidRPr="00055EE2">
        <w:rPr>
          <w:color w:val="auto"/>
          <w:lang w:val="en-US"/>
        </w:rPr>
        <w:t xml:space="preserve"> J Trauma 1998</w:t>
      </w:r>
      <w:r w:rsidRPr="00055EE2">
        <w:rPr>
          <w:color w:val="auto"/>
          <w:lang w:val="en-US"/>
        </w:rPr>
        <w:t>; 44:361</w:t>
      </w:r>
      <w:r w:rsidR="00A22FAA" w:rsidRPr="00055EE2">
        <w:rPr>
          <w:color w:val="auto"/>
          <w:lang w:val="en-US"/>
        </w:rPr>
        <w:t>-7</w:t>
      </w:r>
    </w:p>
    <w:p w14:paraId="5D2FF872" w14:textId="77777777" w:rsidR="006050C3" w:rsidRPr="00055EE2" w:rsidRDefault="006050C3" w:rsidP="006050C3">
      <w:pPr>
        <w:pStyle w:val="NormalWeb"/>
        <w:jc w:val="both"/>
        <w:rPr>
          <w:color w:val="auto"/>
          <w:lang w:val="en-US"/>
        </w:rPr>
      </w:pPr>
      <w:r w:rsidRPr="00055EE2">
        <w:rPr>
          <w:color w:val="auto"/>
          <w:lang w:val="en-US"/>
        </w:rPr>
        <w:t>24. Piagnarelli M, Boudjeltia KZ, Nuyens V,  et al. Rapid alteration in transferrin sialylation during sepsis. Shock. 2005; 24:48-52.         </w:t>
      </w:r>
    </w:p>
    <w:p w14:paraId="145B18A4" w14:textId="77777777" w:rsidR="006050C3" w:rsidRPr="00055EE2" w:rsidRDefault="006050C3" w:rsidP="006050C3">
      <w:pPr>
        <w:pStyle w:val="NormalWeb"/>
        <w:jc w:val="both"/>
        <w:rPr>
          <w:color w:val="auto"/>
        </w:rPr>
      </w:pPr>
      <w:r w:rsidRPr="00055EE2">
        <w:rPr>
          <w:color w:val="auto"/>
          <w:lang w:val="en-US"/>
        </w:rPr>
        <w:t xml:space="preserve">25. Rodríguez RM, Corwin HL, Gettinger A, Corwin MJ, Gubler D, Pearl RG. Nutritional deficiencies and blunted erythropoietin response as cause of critical illness. </w:t>
      </w:r>
      <w:r w:rsidRPr="00055EE2">
        <w:rPr>
          <w:color w:val="auto"/>
        </w:rPr>
        <w:t>J Crit Care. 2001; 16:36-41.  </w:t>
      </w:r>
    </w:p>
    <w:p w14:paraId="05CCFC49" w14:textId="77777777" w:rsidR="006050C3" w:rsidRPr="00055EE2" w:rsidRDefault="006050C3" w:rsidP="006050C3">
      <w:pPr>
        <w:pStyle w:val="NormalWeb"/>
        <w:jc w:val="both"/>
        <w:rPr>
          <w:color w:val="auto"/>
        </w:rPr>
      </w:pPr>
      <w:r w:rsidRPr="00055EE2">
        <w:rPr>
          <w:color w:val="auto"/>
        </w:rPr>
        <w:lastRenderedPageBreak/>
        <w:t xml:space="preserve">26. Henche Morilla AL, Romero Montero C, Llorente González C.  </w:t>
      </w:r>
      <w:r w:rsidRPr="00055EE2">
        <w:rPr>
          <w:color w:val="auto"/>
          <w:shd w:val="clear" w:color="auto" w:fill="FFFFFF"/>
          <w:lang w:val="en-US"/>
        </w:rPr>
        <w:t xml:space="preserve">[Levels of oligo-elements and trace elements in patients at the time of admission in intensive care units]. </w:t>
      </w:r>
      <w:r w:rsidRPr="00055EE2">
        <w:rPr>
          <w:color w:val="auto"/>
        </w:rPr>
        <w:t>Nutr Hosp. 1990;5:338-44.      </w:t>
      </w:r>
    </w:p>
    <w:p w14:paraId="23F7328B" w14:textId="77777777" w:rsidR="006050C3" w:rsidRPr="00055EE2" w:rsidRDefault="006050C3" w:rsidP="006050C3">
      <w:pPr>
        <w:pStyle w:val="NormalWeb"/>
        <w:jc w:val="both"/>
        <w:rPr>
          <w:color w:val="auto"/>
          <w:lang w:val="en-US"/>
        </w:rPr>
      </w:pPr>
      <w:r w:rsidRPr="00055EE2">
        <w:rPr>
          <w:color w:val="auto"/>
        </w:rPr>
        <w:t xml:space="preserve">27. Fernández-Moyano MA, García-Pinilla JM, Jiménez M, Muñoz E, Campos A, Muñoz M. Preoperative anemia in cardiac surgery. </w:t>
      </w:r>
      <w:r w:rsidRPr="00055EE2">
        <w:rPr>
          <w:color w:val="auto"/>
          <w:lang w:val="en-US"/>
        </w:rPr>
        <w:t>Role of angiotensin-converting enzyme inhibitors. TATM. 2006;8 Suppl: 60.         </w:t>
      </w:r>
    </w:p>
    <w:p w14:paraId="5D5AD6E9" w14:textId="77777777" w:rsidR="006050C3" w:rsidRPr="00055EE2" w:rsidRDefault="006050C3" w:rsidP="006050C3">
      <w:pPr>
        <w:pStyle w:val="NormalWeb"/>
        <w:jc w:val="both"/>
        <w:rPr>
          <w:color w:val="auto"/>
          <w:lang w:val="es-ES"/>
        </w:rPr>
      </w:pPr>
      <w:r w:rsidRPr="00055EE2">
        <w:rPr>
          <w:color w:val="auto"/>
          <w:lang w:val="en-US"/>
        </w:rPr>
        <w:t>28.</w:t>
      </w:r>
      <w:r w:rsidRPr="00055EE2">
        <w:rPr>
          <w:color w:val="auto"/>
          <w:shd w:val="clear" w:color="auto" w:fill="FFFFFF"/>
          <w:lang w:val="en-US"/>
        </w:rPr>
        <w:t xml:space="preserve"> Pape A, Stein  P, Horn  O, Habler  O</w:t>
      </w:r>
      <w:r w:rsidRPr="00055EE2">
        <w:rPr>
          <w:color w:val="auto"/>
          <w:lang w:val="en-US"/>
        </w:rPr>
        <w:t xml:space="preserve">. Clinical evidence of blood transfusion effectiveness. </w:t>
      </w:r>
      <w:r w:rsidRPr="00055EE2">
        <w:rPr>
          <w:color w:val="auto"/>
        </w:rPr>
        <w:t>Blood Transfus. 2009, 7: 250-258</w:t>
      </w:r>
    </w:p>
    <w:p w14:paraId="00F38F60" w14:textId="77777777" w:rsidR="006050C3" w:rsidRPr="00055EE2" w:rsidRDefault="006050C3" w:rsidP="006050C3">
      <w:pPr>
        <w:pStyle w:val="NormalWeb"/>
        <w:jc w:val="both"/>
        <w:rPr>
          <w:color w:val="auto"/>
          <w:lang w:val="en-US"/>
        </w:rPr>
      </w:pPr>
      <w:r w:rsidRPr="00055EE2">
        <w:rPr>
          <w:color w:val="auto"/>
        </w:rPr>
        <w:t xml:space="preserve">29.  SATI- . Terapia Intensiva 4° edición.   principio de soporte transfusional en el paciente critico. </w:t>
      </w:r>
      <w:r w:rsidRPr="00055EE2">
        <w:rPr>
          <w:color w:val="auto"/>
          <w:lang w:val="en-US"/>
        </w:rPr>
        <w:t xml:space="preserve">2007- p 79, 88  </w:t>
      </w:r>
    </w:p>
    <w:p w14:paraId="1AD00A7A" w14:textId="77777777" w:rsidR="006050C3" w:rsidRPr="00055EE2" w:rsidRDefault="006050C3" w:rsidP="006050C3">
      <w:pPr>
        <w:jc w:val="both"/>
        <w:rPr>
          <w:rFonts w:eastAsia="Times New Roman"/>
          <w:color w:val="auto"/>
          <w:szCs w:val="24"/>
          <w:lang w:val="en-US" w:eastAsia="es-AR"/>
        </w:rPr>
      </w:pPr>
      <w:r w:rsidRPr="00055EE2">
        <w:rPr>
          <w:color w:val="auto"/>
          <w:szCs w:val="24"/>
          <w:lang w:val="en-US"/>
        </w:rPr>
        <w:t>30.</w:t>
      </w:r>
      <w:r w:rsidRPr="00055EE2">
        <w:rPr>
          <w:rFonts w:eastAsia="Times New Roman"/>
          <w:color w:val="auto"/>
          <w:szCs w:val="24"/>
          <w:lang w:val="en-US" w:eastAsia="es-AR"/>
        </w:rPr>
        <w:t xml:space="preserve"> Hébert PC, Wells G, Blajchman, MA. et al. A multicenter, randomized, controlled clinical trial of transfusion requirements in critical care. Transfusion Requirements in Critical Care Investigators, Canadian Critical Care Trials Group. N Engl J Med. 1999; 340: 409-417</w:t>
      </w:r>
    </w:p>
    <w:p w14:paraId="3A2EB16E" w14:textId="77777777" w:rsidR="006050C3" w:rsidRPr="00055EE2" w:rsidRDefault="006050C3" w:rsidP="006050C3">
      <w:pPr>
        <w:jc w:val="both"/>
        <w:rPr>
          <w:rFonts w:eastAsia="Times New Roman"/>
          <w:color w:val="auto"/>
          <w:szCs w:val="24"/>
          <w:lang w:val="en-US" w:eastAsia="es-AR"/>
        </w:rPr>
      </w:pPr>
      <w:r w:rsidRPr="00055EE2">
        <w:rPr>
          <w:rFonts w:eastAsia="Times New Roman"/>
          <w:color w:val="auto"/>
          <w:szCs w:val="24"/>
          <w:lang w:val="en-US" w:eastAsia="es-AR"/>
        </w:rPr>
        <w:t>31. Hébert PC, Tinmouth A, Corwin HL. Controversies in RBC transfusion in the critically ill. Chest, 2007; 131: 1583-1590</w:t>
      </w:r>
    </w:p>
    <w:p w14:paraId="2C599667" w14:textId="77777777" w:rsidR="006050C3" w:rsidRPr="00055EE2" w:rsidRDefault="006050C3" w:rsidP="006050C3">
      <w:pPr>
        <w:jc w:val="both"/>
        <w:rPr>
          <w:rStyle w:val="citation"/>
          <w:color w:val="auto"/>
          <w:szCs w:val="24"/>
          <w:lang w:val="en-US"/>
        </w:rPr>
      </w:pPr>
      <w:r w:rsidRPr="00055EE2">
        <w:rPr>
          <w:rFonts w:eastAsia="Times New Roman"/>
          <w:color w:val="auto"/>
          <w:szCs w:val="24"/>
          <w:lang w:val="en-US" w:eastAsia="es-AR"/>
        </w:rPr>
        <w:t>32.</w:t>
      </w:r>
      <w:r w:rsidRPr="00055EE2">
        <w:rPr>
          <w:color w:val="auto"/>
          <w:szCs w:val="24"/>
          <w:shd w:val="clear" w:color="auto" w:fill="FFFFFF"/>
          <w:lang w:val="en-US"/>
        </w:rPr>
        <w:t xml:space="preserve"> Lacroix J, Hébert PC, Hutchison JS, et al. </w:t>
      </w:r>
      <w:r w:rsidRPr="00055EE2">
        <w:rPr>
          <w:rFonts w:eastAsia="Times New Roman"/>
          <w:color w:val="auto"/>
          <w:szCs w:val="24"/>
          <w:lang w:val="en-US" w:eastAsia="es-AR"/>
        </w:rPr>
        <w:t xml:space="preserve"> </w:t>
      </w:r>
      <w:r w:rsidRPr="00055EE2">
        <w:rPr>
          <w:color w:val="auto"/>
          <w:szCs w:val="24"/>
          <w:shd w:val="clear" w:color="auto" w:fill="FFFFFF"/>
          <w:lang w:val="en-US"/>
        </w:rPr>
        <w:t xml:space="preserve">Transfusion strategies for patients in pediatric intensive care units.( </w:t>
      </w:r>
      <w:r w:rsidRPr="00055EE2">
        <w:rPr>
          <w:rFonts w:eastAsia="Times New Roman"/>
          <w:color w:val="auto"/>
          <w:szCs w:val="24"/>
          <w:lang w:val="en-US" w:eastAsia="es-AR"/>
        </w:rPr>
        <w:t xml:space="preserve">TRIPICU </w:t>
      </w:r>
      <w:r w:rsidRPr="00055EE2">
        <w:rPr>
          <w:color w:val="auto"/>
          <w:szCs w:val="24"/>
          <w:shd w:val="clear" w:color="auto" w:fill="FFFFFF"/>
          <w:lang w:val="en-US"/>
        </w:rPr>
        <w:t>Investigators)</w:t>
      </w:r>
      <w:r w:rsidRPr="00055EE2">
        <w:rPr>
          <w:rFonts w:eastAsia="Times New Roman"/>
          <w:color w:val="auto"/>
          <w:szCs w:val="24"/>
          <w:lang w:val="en-US" w:eastAsia="es-AR"/>
        </w:rPr>
        <w:t>.</w:t>
      </w:r>
      <w:r w:rsidRPr="00055EE2">
        <w:rPr>
          <w:color w:val="auto"/>
          <w:szCs w:val="24"/>
          <w:lang w:val="en-US"/>
        </w:rPr>
        <w:t>.</w:t>
      </w:r>
      <w:r w:rsidRPr="00055EE2">
        <w:rPr>
          <w:rStyle w:val="citation"/>
          <w:color w:val="auto"/>
          <w:szCs w:val="24"/>
          <w:lang w:val="en-US"/>
        </w:rPr>
        <w:t>N Engl J Med 2007; 356: 1609- 1619</w:t>
      </w:r>
    </w:p>
    <w:p w14:paraId="03EBA984" w14:textId="77777777" w:rsidR="006050C3" w:rsidRPr="00055EE2" w:rsidRDefault="006050C3" w:rsidP="006050C3">
      <w:pPr>
        <w:jc w:val="both"/>
        <w:rPr>
          <w:color w:val="auto"/>
          <w:szCs w:val="24"/>
          <w:shd w:val="clear" w:color="auto" w:fill="FFFFFF"/>
          <w:lang w:val="en-US"/>
        </w:rPr>
      </w:pPr>
      <w:r w:rsidRPr="00055EE2">
        <w:rPr>
          <w:rStyle w:val="citation"/>
          <w:color w:val="auto"/>
          <w:szCs w:val="24"/>
          <w:lang w:val="en-US"/>
        </w:rPr>
        <w:t xml:space="preserve">33. </w:t>
      </w:r>
      <w:hyperlink r:id="rId13" w:history="1">
        <w:r w:rsidRPr="00055EE2">
          <w:rPr>
            <w:rStyle w:val="Hipervnculo"/>
            <w:color w:val="auto"/>
            <w:szCs w:val="24"/>
            <w:shd w:val="clear" w:color="auto" w:fill="FFFFFF"/>
            <w:lang w:val="en-US"/>
          </w:rPr>
          <w:t>Carson JL</w:t>
        </w:r>
      </w:hyperlink>
      <w:r w:rsidRPr="00055EE2">
        <w:rPr>
          <w:color w:val="auto"/>
          <w:szCs w:val="24"/>
          <w:shd w:val="clear" w:color="auto" w:fill="FFFFFF"/>
          <w:lang w:val="en-US"/>
        </w:rPr>
        <w:t>,</w:t>
      </w:r>
      <w:r w:rsidRPr="00055EE2">
        <w:rPr>
          <w:rStyle w:val="apple-converted-space"/>
          <w:color w:val="auto"/>
          <w:szCs w:val="24"/>
          <w:shd w:val="clear" w:color="auto" w:fill="FFFFFF"/>
          <w:lang w:val="en-US"/>
        </w:rPr>
        <w:t> </w:t>
      </w:r>
      <w:hyperlink r:id="rId14" w:history="1">
        <w:r w:rsidRPr="00055EE2">
          <w:rPr>
            <w:rStyle w:val="Hipervnculo"/>
            <w:color w:val="auto"/>
            <w:szCs w:val="24"/>
            <w:shd w:val="clear" w:color="auto" w:fill="FFFFFF"/>
            <w:lang w:val="en-US"/>
          </w:rPr>
          <w:t>Terrin ML</w:t>
        </w:r>
      </w:hyperlink>
      <w:r w:rsidRPr="00055EE2">
        <w:rPr>
          <w:color w:val="auto"/>
          <w:szCs w:val="24"/>
          <w:shd w:val="clear" w:color="auto" w:fill="FFFFFF"/>
          <w:lang w:val="en-US"/>
        </w:rPr>
        <w:t>,</w:t>
      </w:r>
      <w:r w:rsidRPr="00055EE2">
        <w:rPr>
          <w:rStyle w:val="apple-converted-space"/>
          <w:color w:val="auto"/>
          <w:szCs w:val="24"/>
          <w:shd w:val="clear" w:color="auto" w:fill="FFFFFF"/>
          <w:lang w:val="en-US"/>
        </w:rPr>
        <w:t> </w:t>
      </w:r>
      <w:hyperlink r:id="rId15" w:history="1">
        <w:r w:rsidRPr="00055EE2">
          <w:rPr>
            <w:rStyle w:val="Hipervnculo"/>
            <w:color w:val="auto"/>
            <w:szCs w:val="24"/>
            <w:shd w:val="clear" w:color="auto" w:fill="FFFFFF"/>
            <w:lang w:val="en-US"/>
          </w:rPr>
          <w:t>Magaziner J</w:t>
        </w:r>
      </w:hyperlink>
      <w:r w:rsidRPr="00055EE2">
        <w:rPr>
          <w:color w:val="auto"/>
          <w:szCs w:val="24"/>
          <w:lang w:val="en-US"/>
        </w:rPr>
        <w:t xml:space="preserve">,  et al. </w:t>
      </w:r>
      <w:r w:rsidRPr="00055EE2">
        <w:rPr>
          <w:rStyle w:val="citation"/>
          <w:color w:val="auto"/>
          <w:szCs w:val="24"/>
          <w:lang w:val="en-US"/>
        </w:rPr>
        <w:t xml:space="preserve">    </w:t>
      </w:r>
      <w:r w:rsidRPr="00055EE2">
        <w:rPr>
          <w:color w:val="auto"/>
          <w:szCs w:val="24"/>
          <w:lang w:val="en-US"/>
        </w:rPr>
        <w:t xml:space="preserve">Transfusion Trigger Trial for Functional Outcomes in Cardiovascular Patients Undergoing Surgical Hip Fracture Repair (FOCUS).   </w:t>
      </w:r>
      <w:hyperlink r:id="rId16" w:tooltip="Transfusion." w:history="1">
        <w:r w:rsidRPr="00055EE2">
          <w:rPr>
            <w:rStyle w:val="highlight"/>
            <w:color w:val="auto"/>
            <w:szCs w:val="24"/>
            <w:u w:val="single"/>
            <w:shd w:val="clear" w:color="auto" w:fill="FFFFFF"/>
            <w:lang w:val="en-US"/>
          </w:rPr>
          <w:t>Transfusion</w:t>
        </w:r>
        <w:r w:rsidRPr="00055EE2">
          <w:rPr>
            <w:rStyle w:val="Hipervnculo"/>
            <w:color w:val="auto"/>
            <w:szCs w:val="24"/>
            <w:shd w:val="clear" w:color="auto" w:fill="FFFFFF"/>
            <w:lang w:val="en-US"/>
          </w:rPr>
          <w:t>.</w:t>
        </w:r>
      </w:hyperlink>
      <w:r w:rsidRPr="00055EE2">
        <w:rPr>
          <w:rStyle w:val="apple-converted-space"/>
          <w:color w:val="auto"/>
          <w:szCs w:val="24"/>
          <w:shd w:val="clear" w:color="auto" w:fill="FFFFFF"/>
          <w:lang w:val="en-US"/>
        </w:rPr>
        <w:t> </w:t>
      </w:r>
      <w:r w:rsidRPr="00055EE2">
        <w:rPr>
          <w:color w:val="auto"/>
          <w:szCs w:val="24"/>
          <w:shd w:val="clear" w:color="auto" w:fill="FFFFFF"/>
          <w:lang w:val="en-US"/>
        </w:rPr>
        <w:t>2006; 46:2192-2206</w:t>
      </w:r>
    </w:p>
    <w:p w14:paraId="02D2D3FF" w14:textId="77777777" w:rsidR="006050C3" w:rsidRPr="00055EE2" w:rsidRDefault="006050C3" w:rsidP="006050C3">
      <w:pPr>
        <w:jc w:val="both"/>
        <w:rPr>
          <w:rStyle w:val="nowrap"/>
          <w:color w:val="auto"/>
          <w:szCs w:val="24"/>
          <w:lang w:val="en-US"/>
        </w:rPr>
      </w:pPr>
      <w:r w:rsidRPr="00055EE2">
        <w:rPr>
          <w:color w:val="auto"/>
          <w:lang w:val="es-ES"/>
        </w:rPr>
        <w:t xml:space="preserve">34. </w:t>
      </w:r>
      <w:r w:rsidRPr="00055EE2">
        <w:rPr>
          <w:rStyle w:val="element-citation"/>
          <w:color w:val="auto"/>
          <w:szCs w:val="24"/>
          <w:lang w:val="es-ES"/>
        </w:rPr>
        <w:t xml:space="preserve">Sabatine MS, Morrow DA, Giugliano RP, et al. </w:t>
      </w:r>
      <w:r w:rsidRPr="00055EE2">
        <w:rPr>
          <w:color w:val="auto"/>
          <w:lang w:val="en-US"/>
        </w:rPr>
        <w:t xml:space="preserve">Association of hemoglobin levels with clinical outcomes in acute coronary syndromes. </w:t>
      </w:r>
      <w:r w:rsidRPr="00055EE2">
        <w:rPr>
          <w:rStyle w:val="element-citation"/>
          <w:color w:val="auto"/>
          <w:szCs w:val="24"/>
          <w:lang w:val="en-US"/>
        </w:rPr>
        <w:t xml:space="preserve"> </w:t>
      </w:r>
      <w:r w:rsidRPr="00055EE2">
        <w:rPr>
          <w:rStyle w:val="nfasis"/>
          <w:color w:val="auto"/>
          <w:szCs w:val="24"/>
          <w:lang w:val="en-US"/>
        </w:rPr>
        <w:t>Circulation</w:t>
      </w:r>
      <w:r w:rsidRPr="00055EE2">
        <w:rPr>
          <w:rStyle w:val="ref-journal"/>
          <w:color w:val="auto"/>
          <w:szCs w:val="24"/>
          <w:lang w:val="en-US"/>
        </w:rPr>
        <w:t xml:space="preserve"> .</w:t>
      </w:r>
      <w:r w:rsidRPr="00055EE2">
        <w:rPr>
          <w:rStyle w:val="element-citation"/>
          <w:color w:val="auto"/>
          <w:szCs w:val="24"/>
          <w:lang w:val="en-US"/>
        </w:rPr>
        <w:t xml:space="preserve"> 2005; </w:t>
      </w:r>
      <w:r w:rsidRPr="00055EE2">
        <w:rPr>
          <w:rStyle w:val="ref-vol"/>
          <w:color w:val="auto"/>
          <w:szCs w:val="24"/>
          <w:lang w:val="en-US"/>
        </w:rPr>
        <w:t>111</w:t>
      </w:r>
      <w:r w:rsidRPr="00055EE2">
        <w:rPr>
          <w:rStyle w:val="element-citation"/>
          <w:color w:val="auto"/>
          <w:szCs w:val="24"/>
          <w:lang w:val="en-US"/>
        </w:rPr>
        <w:t xml:space="preserve">: 2042-2049 </w:t>
      </w:r>
    </w:p>
    <w:p w14:paraId="6D1B8319" w14:textId="77777777" w:rsidR="006050C3" w:rsidRPr="00055EE2" w:rsidRDefault="006050C3" w:rsidP="006050C3">
      <w:pPr>
        <w:pStyle w:val="NormalWeb"/>
        <w:jc w:val="both"/>
        <w:rPr>
          <w:color w:val="auto"/>
          <w:lang w:val="en-US"/>
        </w:rPr>
      </w:pPr>
      <w:r w:rsidRPr="00055EE2">
        <w:rPr>
          <w:rStyle w:val="nlm-given-names"/>
          <w:color w:val="auto"/>
          <w:bdr w:val="none" w:sz="0" w:space="0" w:color="auto" w:frame="1"/>
          <w:shd w:val="clear" w:color="auto" w:fill="FFFFFE"/>
          <w:lang w:val="en-US"/>
        </w:rPr>
        <w:t xml:space="preserve">35. </w:t>
      </w:r>
      <w:hyperlink r:id="rId17" w:history="1">
        <w:r w:rsidRPr="00055EE2">
          <w:rPr>
            <w:rStyle w:val="Hipervnculo"/>
            <w:color w:val="auto"/>
            <w:shd w:val="clear" w:color="auto" w:fill="FFFFFF"/>
            <w:lang w:val="en-US"/>
          </w:rPr>
          <w:t>Bassand JP</w:t>
        </w:r>
      </w:hyperlink>
      <w:r w:rsidRPr="00055EE2">
        <w:rPr>
          <w:color w:val="auto"/>
          <w:shd w:val="clear" w:color="auto" w:fill="FFFFFF"/>
          <w:lang w:val="en-US"/>
        </w:rPr>
        <w:t>,</w:t>
      </w:r>
      <w:r w:rsidRPr="00055EE2">
        <w:rPr>
          <w:rStyle w:val="apple-converted-space"/>
          <w:color w:val="auto"/>
          <w:shd w:val="clear" w:color="auto" w:fill="FFFFFF"/>
          <w:lang w:val="en-US"/>
        </w:rPr>
        <w:t> </w:t>
      </w:r>
      <w:hyperlink r:id="rId18" w:history="1">
        <w:r w:rsidRPr="00055EE2">
          <w:rPr>
            <w:rStyle w:val="Hipervnculo"/>
            <w:color w:val="auto"/>
            <w:shd w:val="clear" w:color="auto" w:fill="FFFFFF"/>
            <w:lang w:val="en-US"/>
          </w:rPr>
          <w:t>Hamm CW</w:t>
        </w:r>
      </w:hyperlink>
      <w:r w:rsidRPr="00055EE2">
        <w:rPr>
          <w:color w:val="auto"/>
          <w:shd w:val="clear" w:color="auto" w:fill="FFFFFF"/>
          <w:lang w:val="en-US"/>
        </w:rPr>
        <w:t>,</w:t>
      </w:r>
      <w:r w:rsidRPr="00055EE2">
        <w:rPr>
          <w:rStyle w:val="apple-converted-space"/>
          <w:color w:val="auto"/>
          <w:shd w:val="clear" w:color="auto" w:fill="FFFFFF"/>
          <w:lang w:val="en-US"/>
        </w:rPr>
        <w:t> </w:t>
      </w:r>
      <w:hyperlink r:id="rId19" w:history="1">
        <w:r w:rsidRPr="00055EE2">
          <w:rPr>
            <w:rStyle w:val="Hipervnculo"/>
            <w:color w:val="auto"/>
            <w:shd w:val="clear" w:color="auto" w:fill="FFFFFF"/>
            <w:lang w:val="en-US"/>
          </w:rPr>
          <w:t>Ardissino D</w:t>
        </w:r>
      </w:hyperlink>
      <w:r w:rsidRPr="00055EE2">
        <w:rPr>
          <w:color w:val="auto"/>
          <w:shd w:val="clear" w:color="auto" w:fill="FFFFFF"/>
          <w:lang w:val="en-US"/>
        </w:rPr>
        <w:t>,</w:t>
      </w:r>
      <w:r w:rsidRPr="00055EE2">
        <w:rPr>
          <w:rStyle w:val="nlm-surname"/>
          <w:color w:val="auto"/>
          <w:bdr w:val="none" w:sz="0" w:space="0" w:color="auto" w:frame="1"/>
          <w:shd w:val="clear" w:color="auto" w:fill="FFFFFE"/>
          <w:lang w:val="en-US"/>
        </w:rPr>
        <w:t xml:space="preserve"> et al.  </w:t>
      </w:r>
      <w:r w:rsidRPr="00055EE2">
        <w:rPr>
          <w:color w:val="auto"/>
          <w:shd w:val="clear" w:color="auto" w:fill="FFFFFE"/>
          <w:lang w:val="en-US"/>
        </w:rPr>
        <w:t>Guidelines for the diagnosis and treatment of non-ST-segment elevation acute coronary síndromes. Eur Heart J, 2007; 28:1598- 1660</w:t>
      </w:r>
    </w:p>
    <w:p w14:paraId="53814F64" w14:textId="77777777" w:rsidR="006050C3" w:rsidRPr="00055EE2" w:rsidRDefault="006050C3" w:rsidP="006050C3">
      <w:pPr>
        <w:jc w:val="both"/>
        <w:rPr>
          <w:color w:val="auto"/>
          <w:szCs w:val="24"/>
          <w:lang w:val="en-US"/>
        </w:rPr>
      </w:pPr>
      <w:r w:rsidRPr="00055EE2">
        <w:rPr>
          <w:color w:val="auto"/>
          <w:szCs w:val="24"/>
          <w:lang w:val="en-US"/>
        </w:rPr>
        <w:t xml:space="preserve">36. </w:t>
      </w:r>
      <w:r w:rsidRPr="00055EE2">
        <w:rPr>
          <w:rStyle w:val="element-citation"/>
          <w:color w:val="auto"/>
          <w:szCs w:val="24"/>
          <w:lang w:val="en-US"/>
        </w:rPr>
        <w:t xml:space="preserve">Nevins ML, Epstein SK.  </w:t>
      </w:r>
      <w:r w:rsidRPr="00055EE2">
        <w:rPr>
          <w:color w:val="auto"/>
          <w:szCs w:val="24"/>
          <w:shd w:val="clear" w:color="auto" w:fill="FFFFFF"/>
          <w:lang w:val="en-US"/>
        </w:rPr>
        <w:t>Predictors of outcome for patients with COPD requiring invasive mechanical ventilation</w:t>
      </w:r>
      <w:r w:rsidRPr="00055EE2">
        <w:rPr>
          <w:rStyle w:val="element-citation"/>
          <w:color w:val="auto"/>
          <w:szCs w:val="24"/>
          <w:lang w:val="en-US"/>
        </w:rPr>
        <w:t xml:space="preserve">. </w:t>
      </w:r>
      <w:r w:rsidRPr="00055EE2">
        <w:rPr>
          <w:rStyle w:val="nfasis"/>
          <w:color w:val="auto"/>
          <w:szCs w:val="24"/>
          <w:lang w:val="en-US"/>
        </w:rPr>
        <w:t>Chest</w:t>
      </w:r>
      <w:r w:rsidRPr="00055EE2">
        <w:rPr>
          <w:rStyle w:val="ref-journal"/>
          <w:i/>
          <w:color w:val="auto"/>
          <w:szCs w:val="24"/>
          <w:lang w:val="en-US"/>
        </w:rPr>
        <w:t>.</w:t>
      </w:r>
      <w:r w:rsidRPr="00055EE2">
        <w:rPr>
          <w:rStyle w:val="element-citation"/>
          <w:color w:val="auto"/>
          <w:szCs w:val="24"/>
          <w:lang w:val="en-US"/>
        </w:rPr>
        <w:t xml:space="preserve"> 2001; </w:t>
      </w:r>
      <w:r w:rsidRPr="00055EE2">
        <w:rPr>
          <w:rStyle w:val="ref-vol"/>
          <w:color w:val="auto"/>
          <w:szCs w:val="24"/>
          <w:lang w:val="en-US"/>
        </w:rPr>
        <w:t>119</w:t>
      </w:r>
      <w:r w:rsidRPr="00055EE2">
        <w:rPr>
          <w:rStyle w:val="element-citation"/>
          <w:color w:val="auto"/>
          <w:szCs w:val="24"/>
          <w:lang w:val="en-US"/>
        </w:rPr>
        <w:t>: 1840-1849</w:t>
      </w:r>
    </w:p>
    <w:p w14:paraId="22CFA318" w14:textId="77777777" w:rsidR="006050C3" w:rsidRPr="00055EE2" w:rsidRDefault="006050C3" w:rsidP="006050C3">
      <w:pPr>
        <w:jc w:val="both"/>
        <w:rPr>
          <w:color w:val="auto"/>
          <w:szCs w:val="24"/>
          <w:lang w:val="en-US"/>
        </w:rPr>
      </w:pPr>
      <w:r w:rsidRPr="00055EE2">
        <w:rPr>
          <w:rStyle w:val="element-citation"/>
          <w:color w:val="auto"/>
          <w:szCs w:val="24"/>
          <w:lang w:val="en-US"/>
        </w:rPr>
        <w:t xml:space="preserve">37. Gould S, Cimino MJ, Gerber DR. </w:t>
      </w:r>
      <w:hyperlink r:id="rId20" w:history="1">
        <w:r w:rsidRPr="00055EE2">
          <w:rPr>
            <w:rStyle w:val="Hipervnculo"/>
            <w:color w:val="auto"/>
            <w:szCs w:val="24"/>
            <w:lang w:val="en-US"/>
          </w:rPr>
          <w:t>Packed red blood cell transfusion in the intensive care unit: limitations and consequences</w:t>
        </w:r>
      </w:hyperlink>
      <w:r w:rsidRPr="00055EE2">
        <w:rPr>
          <w:bCs/>
          <w:color w:val="auto"/>
          <w:lang w:val="en-US"/>
        </w:rPr>
        <w:t xml:space="preserve">. </w:t>
      </w:r>
      <w:r w:rsidRPr="00055EE2">
        <w:rPr>
          <w:rStyle w:val="nfasis"/>
          <w:color w:val="auto"/>
          <w:szCs w:val="24"/>
          <w:lang w:val="en-US"/>
        </w:rPr>
        <w:t>Am J Crit Care</w:t>
      </w:r>
      <w:r w:rsidRPr="00055EE2">
        <w:rPr>
          <w:rStyle w:val="ref-journal"/>
          <w:color w:val="auto"/>
          <w:szCs w:val="24"/>
          <w:lang w:val="en-US"/>
        </w:rPr>
        <w:t>.</w:t>
      </w:r>
      <w:r w:rsidRPr="00055EE2">
        <w:rPr>
          <w:rStyle w:val="element-citation"/>
          <w:color w:val="auto"/>
          <w:szCs w:val="24"/>
          <w:lang w:val="en-US"/>
        </w:rPr>
        <w:t xml:space="preserve"> 2007; </w:t>
      </w:r>
      <w:r w:rsidRPr="00055EE2">
        <w:rPr>
          <w:rStyle w:val="ref-vol"/>
          <w:color w:val="auto"/>
          <w:szCs w:val="24"/>
          <w:lang w:val="en-US"/>
        </w:rPr>
        <w:t>16</w:t>
      </w:r>
      <w:r w:rsidRPr="00055EE2">
        <w:rPr>
          <w:rStyle w:val="element-citation"/>
          <w:color w:val="auto"/>
          <w:szCs w:val="24"/>
          <w:lang w:val="en-US"/>
        </w:rPr>
        <w:t>: 39-49</w:t>
      </w:r>
    </w:p>
    <w:p w14:paraId="12B09B8D" w14:textId="77777777" w:rsidR="006050C3" w:rsidRPr="00055EE2" w:rsidRDefault="006050C3" w:rsidP="006050C3">
      <w:pPr>
        <w:jc w:val="both"/>
        <w:rPr>
          <w:rStyle w:val="nowrap"/>
          <w:color w:val="auto"/>
          <w:szCs w:val="24"/>
          <w:lang w:val="en-US"/>
        </w:rPr>
      </w:pPr>
      <w:r w:rsidRPr="00055EE2">
        <w:rPr>
          <w:color w:val="auto"/>
          <w:szCs w:val="24"/>
          <w:lang w:val="en-US"/>
        </w:rPr>
        <w:t xml:space="preserve">38. </w:t>
      </w:r>
      <w:r w:rsidRPr="00055EE2">
        <w:rPr>
          <w:rStyle w:val="element-citation"/>
          <w:color w:val="auto"/>
          <w:szCs w:val="24"/>
          <w:lang w:val="en-US"/>
        </w:rPr>
        <w:t xml:space="preserve">Ríos E, Nguyen B, Havstad S, et al.  </w:t>
      </w:r>
      <w:r w:rsidRPr="00055EE2">
        <w:rPr>
          <w:color w:val="auto"/>
          <w:szCs w:val="24"/>
          <w:shd w:val="clear" w:color="auto" w:fill="FFFFFF"/>
          <w:lang w:val="en-US"/>
        </w:rPr>
        <w:t xml:space="preserve">Early goal-directed therapy in the treatment of severe sepsis and septic shock. </w:t>
      </w:r>
      <w:r w:rsidRPr="00055EE2">
        <w:rPr>
          <w:rStyle w:val="nfasis"/>
          <w:color w:val="auto"/>
          <w:szCs w:val="24"/>
          <w:lang w:val="en-US"/>
        </w:rPr>
        <w:t>N Engl J Med</w:t>
      </w:r>
      <w:r w:rsidRPr="00055EE2">
        <w:rPr>
          <w:rStyle w:val="ref-journal"/>
          <w:color w:val="auto"/>
          <w:szCs w:val="24"/>
          <w:lang w:val="en-US"/>
        </w:rPr>
        <w:t xml:space="preserve"> .</w:t>
      </w:r>
      <w:r w:rsidRPr="00055EE2">
        <w:rPr>
          <w:rStyle w:val="element-citation"/>
          <w:color w:val="auto"/>
          <w:szCs w:val="24"/>
          <w:lang w:val="en-US"/>
        </w:rPr>
        <w:t xml:space="preserve"> 2001; </w:t>
      </w:r>
      <w:r w:rsidRPr="00055EE2">
        <w:rPr>
          <w:rStyle w:val="ref-vol"/>
          <w:color w:val="auto"/>
          <w:szCs w:val="24"/>
          <w:lang w:val="en-US"/>
        </w:rPr>
        <w:t>345</w:t>
      </w:r>
      <w:r w:rsidRPr="00055EE2">
        <w:rPr>
          <w:rStyle w:val="element-citation"/>
          <w:color w:val="auto"/>
          <w:szCs w:val="24"/>
          <w:lang w:val="en-US"/>
        </w:rPr>
        <w:t xml:space="preserve">: 1368-1377 </w:t>
      </w:r>
    </w:p>
    <w:p w14:paraId="1C4C1CCF" w14:textId="77777777" w:rsidR="006050C3" w:rsidRPr="00055EE2" w:rsidRDefault="006050C3" w:rsidP="006050C3">
      <w:pPr>
        <w:jc w:val="both"/>
        <w:rPr>
          <w:rStyle w:val="nowrap"/>
          <w:color w:val="auto"/>
          <w:szCs w:val="24"/>
          <w:shd w:val="clear" w:color="auto" w:fill="FFFFFF"/>
          <w:lang w:val="en-US"/>
        </w:rPr>
      </w:pPr>
      <w:r w:rsidRPr="00055EE2">
        <w:rPr>
          <w:color w:val="auto"/>
          <w:szCs w:val="24"/>
          <w:shd w:val="clear" w:color="auto" w:fill="FFFFFF"/>
          <w:lang w:val="en-US"/>
        </w:rPr>
        <w:t>39.</w:t>
      </w:r>
      <w:r w:rsidRPr="00055EE2">
        <w:rPr>
          <w:rStyle w:val="apple-converted-space"/>
          <w:color w:val="auto"/>
          <w:szCs w:val="24"/>
          <w:shd w:val="clear" w:color="auto" w:fill="FFFFFF"/>
          <w:lang w:val="en-US"/>
        </w:rPr>
        <w:t> </w:t>
      </w:r>
      <w:r w:rsidRPr="00055EE2">
        <w:rPr>
          <w:rStyle w:val="element-citation"/>
          <w:color w:val="auto"/>
          <w:szCs w:val="24"/>
          <w:shd w:val="clear" w:color="auto" w:fill="FFFFFF"/>
          <w:lang w:val="en-US"/>
        </w:rPr>
        <w:t>Yealy DM, Kellum JA, Huang DT, et al.</w:t>
      </w:r>
      <w:r w:rsidRPr="00055EE2">
        <w:rPr>
          <w:rStyle w:val="apple-converted-space"/>
          <w:color w:val="auto"/>
          <w:szCs w:val="24"/>
          <w:shd w:val="clear" w:color="auto" w:fill="FFFFFF"/>
          <w:lang w:val="en-US"/>
        </w:rPr>
        <w:t xml:space="preserve"> </w:t>
      </w:r>
      <w:r w:rsidRPr="00055EE2">
        <w:rPr>
          <w:color w:val="auto"/>
          <w:szCs w:val="24"/>
          <w:shd w:val="clear" w:color="auto" w:fill="FFFFFF"/>
          <w:lang w:val="en-US"/>
        </w:rPr>
        <w:t>A randomized trial of protocol-based care for early septic shock</w:t>
      </w:r>
      <w:r w:rsidRPr="00055EE2">
        <w:rPr>
          <w:rStyle w:val="element-citation"/>
          <w:color w:val="auto"/>
          <w:szCs w:val="24"/>
          <w:shd w:val="clear" w:color="auto" w:fill="FFFFFF"/>
          <w:lang w:val="en-US"/>
        </w:rPr>
        <w:t>.</w:t>
      </w:r>
      <w:r w:rsidRPr="00055EE2">
        <w:rPr>
          <w:rStyle w:val="apple-converted-space"/>
          <w:color w:val="auto"/>
          <w:szCs w:val="24"/>
          <w:shd w:val="clear" w:color="auto" w:fill="FFFFFF"/>
          <w:lang w:val="en-US"/>
        </w:rPr>
        <w:t> </w:t>
      </w:r>
      <w:r w:rsidRPr="00055EE2">
        <w:rPr>
          <w:rStyle w:val="ref-journal"/>
          <w:color w:val="auto"/>
          <w:szCs w:val="24"/>
          <w:shd w:val="clear" w:color="auto" w:fill="FFFFFF"/>
          <w:lang w:val="en-US"/>
        </w:rPr>
        <w:t>N Engl J Med.</w:t>
      </w:r>
      <w:r w:rsidRPr="00055EE2">
        <w:rPr>
          <w:rStyle w:val="apple-converted-space"/>
          <w:color w:val="auto"/>
          <w:szCs w:val="24"/>
          <w:shd w:val="clear" w:color="auto" w:fill="FFFFFF"/>
          <w:lang w:val="en-US"/>
        </w:rPr>
        <w:t> </w:t>
      </w:r>
      <w:r w:rsidRPr="00055EE2">
        <w:rPr>
          <w:rStyle w:val="element-citation"/>
          <w:color w:val="auto"/>
          <w:szCs w:val="24"/>
          <w:shd w:val="clear" w:color="auto" w:fill="FFFFFF"/>
          <w:lang w:val="en-US"/>
        </w:rPr>
        <w:t>2014;</w:t>
      </w:r>
      <w:r w:rsidRPr="00055EE2">
        <w:rPr>
          <w:rStyle w:val="apple-converted-space"/>
          <w:color w:val="auto"/>
          <w:szCs w:val="24"/>
          <w:shd w:val="clear" w:color="auto" w:fill="FFFFFF"/>
          <w:lang w:val="en-US"/>
        </w:rPr>
        <w:t> </w:t>
      </w:r>
      <w:r w:rsidRPr="00055EE2">
        <w:rPr>
          <w:rStyle w:val="ref-vol"/>
          <w:color w:val="auto"/>
          <w:szCs w:val="24"/>
          <w:shd w:val="clear" w:color="auto" w:fill="FFFFFF"/>
          <w:lang w:val="en-US"/>
        </w:rPr>
        <w:t>370: 1683-93</w:t>
      </w:r>
      <w:r w:rsidRPr="00055EE2">
        <w:rPr>
          <w:rStyle w:val="apple-converted-space"/>
          <w:color w:val="auto"/>
          <w:szCs w:val="24"/>
          <w:shd w:val="clear" w:color="auto" w:fill="FFFFFF"/>
          <w:lang w:val="en-US"/>
        </w:rPr>
        <w:t> </w:t>
      </w:r>
    </w:p>
    <w:p w14:paraId="2EF9E799" w14:textId="77777777" w:rsidR="006050C3" w:rsidRPr="00055EE2" w:rsidRDefault="006050C3" w:rsidP="006050C3">
      <w:pPr>
        <w:jc w:val="both"/>
        <w:rPr>
          <w:rStyle w:val="nowrap"/>
          <w:color w:val="auto"/>
          <w:szCs w:val="24"/>
          <w:lang w:val="en-US"/>
        </w:rPr>
      </w:pPr>
      <w:r w:rsidRPr="00055EE2">
        <w:rPr>
          <w:color w:val="auto"/>
          <w:szCs w:val="24"/>
          <w:shd w:val="clear" w:color="auto" w:fill="FFFFFF"/>
          <w:lang w:val="en-US"/>
        </w:rPr>
        <w:t xml:space="preserve">40. </w:t>
      </w:r>
      <w:r w:rsidRPr="00055EE2">
        <w:rPr>
          <w:rStyle w:val="element-citation"/>
          <w:color w:val="auto"/>
          <w:szCs w:val="24"/>
          <w:shd w:val="clear" w:color="auto" w:fill="FFFFFF"/>
          <w:lang w:val="en-US"/>
        </w:rPr>
        <w:t>Peake SL, Delaney A, Bailey M, et al.</w:t>
      </w:r>
      <w:r w:rsidRPr="00055EE2">
        <w:rPr>
          <w:rStyle w:val="apple-converted-space"/>
          <w:color w:val="auto"/>
          <w:szCs w:val="24"/>
          <w:shd w:val="clear" w:color="auto" w:fill="FFFFFF"/>
          <w:lang w:val="en-US"/>
        </w:rPr>
        <w:t> </w:t>
      </w:r>
      <w:r w:rsidRPr="00055EE2">
        <w:rPr>
          <w:rStyle w:val="element-citation"/>
          <w:color w:val="auto"/>
          <w:szCs w:val="24"/>
          <w:shd w:val="clear" w:color="auto" w:fill="FFFFFF"/>
          <w:lang w:val="en-US"/>
        </w:rPr>
        <w:t>ARISE Investigators.</w:t>
      </w:r>
      <w:r w:rsidRPr="00055EE2">
        <w:rPr>
          <w:rStyle w:val="apple-converted-space"/>
          <w:color w:val="auto"/>
          <w:szCs w:val="24"/>
          <w:shd w:val="clear" w:color="auto" w:fill="FFFFFF"/>
          <w:lang w:val="en-US"/>
        </w:rPr>
        <w:t> </w:t>
      </w:r>
      <w:r w:rsidRPr="00055EE2">
        <w:rPr>
          <w:rStyle w:val="element-citation"/>
          <w:color w:val="auto"/>
          <w:szCs w:val="24"/>
          <w:shd w:val="clear" w:color="auto" w:fill="FFFFFF"/>
          <w:lang w:val="en-US"/>
        </w:rPr>
        <w:t xml:space="preserve">ANZICS clinical trial Grup.  </w:t>
      </w:r>
      <w:r w:rsidRPr="00055EE2">
        <w:rPr>
          <w:color w:val="auto"/>
          <w:szCs w:val="24"/>
          <w:shd w:val="clear" w:color="auto" w:fill="FFFFFF"/>
          <w:lang w:val="en-US"/>
        </w:rPr>
        <w:t>Goal-directed resuscitation for patients with early septic shock.</w:t>
      </w:r>
      <w:r w:rsidRPr="00055EE2">
        <w:rPr>
          <w:rStyle w:val="element-citation"/>
          <w:color w:val="auto"/>
          <w:szCs w:val="24"/>
          <w:shd w:val="clear" w:color="auto" w:fill="FFFFFF"/>
          <w:lang w:val="en-US"/>
        </w:rPr>
        <w:t xml:space="preserve"> </w:t>
      </w:r>
      <w:r w:rsidRPr="00055EE2">
        <w:rPr>
          <w:rStyle w:val="ref-journal"/>
          <w:color w:val="auto"/>
          <w:szCs w:val="24"/>
          <w:shd w:val="clear" w:color="auto" w:fill="FFFFFF"/>
          <w:lang w:val="en-US"/>
        </w:rPr>
        <w:t>N Engl J Med 2014; 371:1496- 506</w:t>
      </w:r>
      <w:r w:rsidRPr="00055EE2">
        <w:rPr>
          <w:rStyle w:val="apple-converted-space"/>
          <w:color w:val="auto"/>
          <w:szCs w:val="24"/>
          <w:shd w:val="clear" w:color="auto" w:fill="FFFFFF"/>
          <w:lang w:val="en-US"/>
        </w:rPr>
        <w:t> </w:t>
      </w:r>
      <w:r w:rsidRPr="00055EE2">
        <w:rPr>
          <w:rStyle w:val="nowrap"/>
          <w:color w:val="auto"/>
          <w:szCs w:val="24"/>
          <w:shd w:val="clear" w:color="auto" w:fill="FFFFFF"/>
          <w:lang w:val="en-US"/>
        </w:rPr>
        <w:t xml:space="preserve"> </w:t>
      </w:r>
    </w:p>
    <w:p w14:paraId="4436AD7A" w14:textId="77777777" w:rsidR="006050C3" w:rsidRPr="00055EE2" w:rsidRDefault="006050C3" w:rsidP="006050C3">
      <w:pPr>
        <w:shd w:val="clear" w:color="auto" w:fill="FFFFFF"/>
        <w:spacing w:line="348" w:lineRule="atLeast"/>
        <w:jc w:val="both"/>
        <w:rPr>
          <w:color w:val="auto"/>
          <w:szCs w:val="24"/>
          <w:lang w:val="en-US"/>
        </w:rPr>
      </w:pPr>
      <w:r w:rsidRPr="00055EE2">
        <w:rPr>
          <w:rStyle w:val="nowrap"/>
          <w:color w:val="auto"/>
          <w:szCs w:val="24"/>
          <w:lang w:val="en-US"/>
        </w:rPr>
        <w:lastRenderedPageBreak/>
        <w:t xml:space="preserve">41. </w:t>
      </w:r>
      <w:hyperlink r:id="rId21" w:history="1">
        <w:r w:rsidRPr="00055EE2">
          <w:rPr>
            <w:rStyle w:val="Hipervnculo"/>
            <w:color w:val="auto"/>
            <w:szCs w:val="24"/>
            <w:shd w:val="clear" w:color="auto" w:fill="FFFFFF"/>
            <w:lang w:val="en-US"/>
          </w:rPr>
          <w:t>Sauaia A</w:t>
        </w:r>
      </w:hyperlink>
      <w:r w:rsidRPr="00055EE2">
        <w:rPr>
          <w:rStyle w:val="apple-converted-space"/>
          <w:color w:val="auto"/>
          <w:szCs w:val="24"/>
          <w:shd w:val="clear" w:color="auto" w:fill="FFFFFF"/>
          <w:lang w:val="en-US"/>
        </w:rPr>
        <w:t xml:space="preserve">, </w:t>
      </w:r>
      <w:r w:rsidRPr="00055EE2">
        <w:rPr>
          <w:rStyle w:val="apple-converted-space"/>
          <w:color w:val="auto"/>
          <w:szCs w:val="24"/>
          <w:shd w:val="clear" w:color="auto" w:fill="FFFFFF"/>
          <w:vertAlign w:val="superscript"/>
          <w:lang w:val="en-US"/>
        </w:rPr>
        <w:t> </w:t>
      </w:r>
      <w:hyperlink r:id="rId22" w:history="1">
        <w:r w:rsidRPr="00055EE2">
          <w:rPr>
            <w:rStyle w:val="Hipervnculo"/>
            <w:color w:val="auto"/>
            <w:szCs w:val="24"/>
            <w:shd w:val="clear" w:color="auto" w:fill="FFFFFF"/>
            <w:lang w:val="en-US"/>
          </w:rPr>
          <w:t>Moore</w:t>
        </w:r>
        <w:r w:rsidRPr="00055EE2">
          <w:rPr>
            <w:rStyle w:val="apple-converted-space"/>
            <w:color w:val="auto"/>
            <w:szCs w:val="24"/>
            <w:shd w:val="clear" w:color="auto" w:fill="FFFFFF"/>
            <w:lang w:val="en-US"/>
          </w:rPr>
          <w:t> </w:t>
        </w:r>
      </w:hyperlink>
      <w:r w:rsidRPr="00055EE2">
        <w:rPr>
          <w:color w:val="auto"/>
          <w:szCs w:val="24"/>
          <w:shd w:val="clear" w:color="auto" w:fill="FFFFFF"/>
          <w:lang w:val="en-US"/>
        </w:rPr>
        <w:t>FA,</w:t>
      </w:r>
      <w:r w:rsidRPr="00055EE2">
        <w:rPr>
          <w:rStyle w:val="apple-converted-space"/>
          <w:color w:val="auto"/>
          <w:szCs w:val="24"/>
          <w:shd w:val="clear" w:color="auto" w:fill="FFFFFF"/>
          <w:lang w:val="en-US"/>
        </w:rPr>
        <w:t> </w:t>
      </w:r>
      <w:hyperlink r:id="rId23" w:history="1">
        <w:r w:rsidRPr="00055EE2">
          <w:rPr>
            <w:rStyle w:val="Hipervnculo"/>
            <w:color w:val="auto"/>
            <w:szCs w:val="24"/>
            <w:shd w:val="clear" w:color="auto" w:fill="FFFFFF"/>
            <w:lang w:val="en-US"/>
          </w:rPr>
          <w:t>Moore</w:t>
        </w:r>
        <w:r w:rsidRPr="00055EE2">
          <w:rPr>
            <w:rStyle w:val="apple-converted-space"/>
            <w:color w:val="auto"/>
            <w:szCs w:val="24"/>
            <w:shd w:val="clear" w:color="auto" w:fill="FFFFFF"/>
            <w:lang w:val="en-US"/>
          </w:rPr>
          <w:t> </w:t>
        </w:r>
      </w:hyperlink>
      <w:r w:rsidRPr="00055EE2">
        <w:rPr>
          <w:color w:val="auto"/>
          <w:szCs w:val="24"/>
          <w:shd w:val="clear" w:color="auto" w:fill="FFFFFF"/>
          <w:lang w:val="en-US"/>
        </w:rPr>
        <w:t>EE,</w:t>
      </w:r>
      <w:r w:rsidRPr="00055EE2">
        <w:rPr>
          <w:rStyle w:val="apple-converted-space"/>
          <w:color w:val="auto"/>
          <w:szCs w:val="24"/>
          <w:shd w:val="clear" w:color="auto" w:fill="FFFFFF"/>
          <w:lang w:val="en-US"/>
        </w:rPr>
        <w:t> </w:t>
      </w:r>
      <w:r w:rsidRPr="00055EE2">
        <w:rPr>
          <w:color w:val="auto"/>
          <w:szCs w:val="24"/>
          <w:lang w:val="en-US"/>
        </w:rPr>
        <w:t xml:space="preserve">et al. </w:t>
      </w:r>
      <w:r w:rsidRPr="00055EE2">
        <w:rPr>
          <w:color w:val="auto"/>
          <w:szCs w:val="24"/>
          <w:shd w:val="clear" w:color="auto" w:fill="FFFFFF"/>
          <w:lang w:val="en-US"/>
        </w:rPr>
        <w:t xml:space="preserve"> Epidemiology of trauma deaths: a reassessment. </w:t>
      </w:r>
      <w:hyperlink r:id="rId24" w:tooltip="El Diario del trauma." w:history="1">
        <w:r w:rsidRPr="00055EE2">
          <w:rPr>
            <w:rStyle w:val="Hipervnculo"/>
            <w:color w:val="auto"/>
            <w:szCs w:val="24"/>
            <w:lang w:val="en-US"/>
          </w:rPr>
          <w:t xml:space="preserve">   J Trauma.</w:t>
        </w:r>
      </w:hyperlink>
      <w:r w:rsidRPr="00055EE2">
        <w:rPr>
          <w:color w:val="auto"/>
          <w:szCs w:val="24"/>
          <w:lang w:val="en-US"/>
        </w:rPr>
        <w:t>1995; 38: 185-93.</w:t>
      </w:r>
    </w:p>
    <w:p w14:paraId="00A9F372" w14:textId="77777777" w:rsidR="006050C3" w:rsidRPr="00055EE2" w:rsidRDefault="006050C3" w:rsidP="006050C3">
      <w:pPr>
        <w:shd w:val="clear" w:color="auto" w:fill="FFFFFF"/>
        <w:jc w:val="both"/>
        <w:rPr>
          <w:color w:val="auto"/>
          <w:szCs w:val="24"/>
          <w:lang w:val="en-US"/>
        </w:rPr>
      </w:pPr>
      <w:r w:rsidRPr="00055EE2">
        <w:rPr>
          <w:color w:val="auto"/>
          <w:szCs w:val="24"/>
          <w:lang w:val="en-US"/>
        </w:rPr>
        <w:t xml:space="preserve">42.  </w:t>
      </w:r>
      <w:hyperlink r:id="rId25" w:history="1">
        <w:r w:rsidRPr="00055EE2">
          <w:rPr>
            <w:rStyle w:val="Hipervnculo"/>
            <w:color w:val="auto"/>
            <w:szCs w:val="24"/>
            <w:lang w:val="en-US"/>
          </w:rPr>
          <w:t>Silverman JA</w:t>
        </w:r>
      </w:hyperlink>
      <w:r w:rsidRPr="00055EE2">
        <w:rPr>
          <w:rStyle w:val="apple-converted-space"/>
          <w:color w:val="auto"/>
          <w:szCs w:val="24"/>
          <w:lang w:val="en-US"/>
        </w:rPr>
        <w:t xml:space="preserve">, </w:t>
      </w:r>
      <w:hyperlink r:id="rId26" w:history="1">
        <w:r w:rsidRPr="00055EE2">
          <w:rPr>
            <w:rStyle w:val="Hipervnculo"/>
            <w:color w:val="auto"/>
            <w:szCs w:val="24"/>
            <w:lang w:val="en-US"/>
          </w:rPr>
          <w:t>Barrett</w:t>
        </w:r>
        <w:r w:rsidRPr="00055EE2">
          <w:rPr>
            <w:rStyle w:val="apple-converted-space"/>
            <w:color w:val="auto"/>
            <w:szCs w:val="24"/>
            <w:lang w:val="en-US"/>
          </w:rPr>
          <w:t> </w:t>
        </w:r>
      </w:hyperlink>
      <w:r w:rsidRPr="00055EE2">
        <w:rPr>
          <w:color w:val="auto"/>
          <w:szCs w:val="24"/>
          <w:lang w:val="en-US"/>
        </w:rPr>
        <w:t>J,</w:t>
      </w:r>
      <w:r w:rsidRPr="00055EE2">
        <w:rPr>
          <w:rStyle w:val="apple-converted-space"/>
          <w:color w:val="auto"/>
          <w:szCs w:val="24"/>
          <w:lang w:val="en-US"/>
        </w:rPr>
        <w:t> </w:t>
      </w:r>
      <w:hyperlink r:id="rId27" w:history="1">
        <w:r w:rsidRPr="00055EE2">
          <w:rPr>
            <w:rStyle w:val="Hipervnculo"/>
            <w:color w:val="auto"/>
            <w:szCs w:val="24"/>
            <w:lang w:val="en-US"/>
          </w:rPr>
          <w:t>Callum</w:t>
        </w:r>
        <w:r w:rsidRPr="00055EE2">
          <w:rPr>
            <w:rStyle w:val="apple-converted-space"/>
            <w:color w:val="auto"/>
            <w:szCs w:val="24"/>
            <w:lang w:val="en-US"/>
          </w:rPr>
          <w:t> </w:t>
        </w:r>
      </w:hyperlink>
      <w:r w:rsidRPr="00055EE2">
        <w:rPr>
          <w:color w:val="auto"/>
          <w:szCs w:val="24"/>
          <w:lang w:val="en-US"/>
        </w:rPr>
        <w:t xml:space="preserve">JL. </w:t>
      </w:r>
      <w:r w:rsidRPr="00055EE2">
        <w:rPr>
          <w:color w:val="auto"/>
          <w:szCs w:val="24"/>
          <w:shd w:val="clear" w:color="auto" w:fill="FFFFFF"/>
          <w:lang w:val="en-US"/>
        </w:rPr>
        <w:t xml:space="preserve">The appropriateness of red blood cell transfusions in the peripartum patient. </w:t>
      </w:r>
      <w:hyperlink r:id="rId28" w:tooltip="Obstetricia y Ginecología." w:history="1">
        <w:r w:rsidRPr="00055EE2">
          <w:rPr>
            <w:rStyle w:val="Hipervnculo"/>
            <w:color w:val="auto"/>
            <w:szCs w:val="24"/>
            <w:lang w:val="en-US"/>
          </w:rPr>
          <w:t>Obstet Gynecol.</w:t>
        </w:r>
      </w:hyperlink>
      <w:r w:rsidRPr="00055EE2">
        <w:rPr>
          <w:rStyle w:val="apple-converted-space"/>
          <w:color w:val="auto"/>
          <w:szCs w:val="24"/>
          <w:lang w:val="en-US"/>
        </w:rPr>
        <w:t> </w:t>
      </w:r>
      <w:r w:rsidRPr="00055EE2">
        <w:rPr>
          <w:color w:val="auto"/>
          <w:szCs w:val="24"/>
          <w:lang w:val="en-US"/>
        </w:rPr>
        <w:t>2004; 104: 1000- 4</w:t>
      </w:r>
    </w:p>
    <w:p w14:paraId="12ED12E4" w14:textId="77777777" w:rsidR="006050C3" w:rsidRPr="00055EE2" w:rsidRDefault="006050C3" w:rsidP="006050C3">
      <w:pPr>
        <w:jc w:val="both"/>
        <w:rPr>
          <w:color w:val="auto"/>
          <w:szCs w:val="24"/>
          <w:lang w:val="en-US"/>
        </w:rPr>
      </w:pPr>
      <w:r w:rsidRPr="00055EE2">
        <w:rPr>
          <w:color w:val="auto"/>
          <w:szCs w:val="24"/>
          <w:lang w:val="en-US"/>
        </w:rPr>
        <w:t xml:space="preserve">43. </w:t>
      </w:r>
      <w:hyperlink r:id="rId29" w:history="1">
        <w:r w:rsidRPr="00055EE2">
          <w:rPr>
            <w:rStyle w:val="Hipervnculo"/>
            <w:color w:val="auto"/>
            <w:szCs w:val="24"/>
            <w:lang w:val="en-US"/>
          </w:rPr>
          <w:t>So-Osman C</w:t>
        </w:r>
      </w:hyperlink>
      <w:r w:rsidRPr="00055EE2">
        <w:rPr>
          <w:rStyle w:val="apple-converted-space"/>
          <w:color w:val="auto"/>
          <w:szCs w:val="24"/>
          <w:lang w:val="en-US"/>
        </w:rPr>
        <w:t> </w:t>
      </w:r>
      <w:r w:rsidRPr="00055EE2">
        <w:rPr>
          <w:color w:val="auto"/>
          <w:szCs w:val="24"/>
          <w:lang w:val="en-US"/>
        </w:rPr>
        <w:t xml:space="preserve">, </w:t>
      </w:r>
      <w:r w:rsidRPr="00055EE2">
        <w:rPr>
          <w:rStyle w:val="apple-converted-space"/>
          <w:color w:val="auto"/>
          <w:szCs w:val="24"/>
          <w:vertAlign w:val="superscript"/>
          <w:lang w:val="en-US"/>
        </w:rPr>
        <w:t> </w:t>
      </w:r>
      <w:hyperlink r:id="rId30" w:history="1">
        <w:r w:rsidRPr="00055EE2">
          <w:rPr>
            <w:rStyle w:val="Hipervnculo"/>
            <w:color w:val="auto"/>
            <w:szCs w:val="24"/>
            <w:lang w:val="en-US"/>
          </w:rPr>
          <w:t>Cicilia</w:t>
        </w:r>
        <w:r w:rsidRPr="00055EE2">
          <w:rPr>
            <w:rStyle w:val="apple-converted-space"/>
            <w:color w:val="auto"/>
            <w:szCs w:val="24"/>
            <w:lang w:val="en-US"/>
          </w:rPr>
          <w:t> </w:t>
        </w:r>
      </w:hyperlink>
      <w:r w:rsidRPr="00055EE2">
        <w:rPr>
          <w:color w:val="auto"/>
          <w:szCs w:val="24"/>
          <w:lang w:val="en-US"/>
        </w:rPr>
        <w:t>J,</w:t>
      </w:r>
      <w:r w:rsidRPr="00055EE2">
        <w:rPr>
          <w:rStyle w:val="apple-converted-space"/>
          <w:color w:val="auto"/>
          <w:szCs w:val="24"/>
          <w:lang w:val="en-US"/>
        </w:rPr>
        <w:t xml:space="preserve">  </w:t>
      </w:r>
      <w:r w:rsidRPr="00055EE2">
        <w:rPr>
          <w:color w:val="auto"/>
          <w:szCs w:val="24"/>
          <w:lang w:val="en-US"/>
        </w:rPr>
        <w:t>Brand  A,</w:t>
      </w:r>
      <w:r w:rsidRPr="00055EE2">
        <w:rPr>
          <w:rStyle w:val="apple-converted-space"/>
          <w:color w:val="auto"/>
          <w:szCs w:val="24"/>
          <w:lang w:val="en-US"/>
        </w:rPr>
        <w:t> </w:t>
      </w:r>
      <w:hyperlink r:id="rId31" w:history="1">
        <w:r w:rsidRPr="00055EE2">
          <w:rPr>
            <w:rStyle w:val="Hipervnculo"/>
            <w:color w:val="auto"/>
            <w:szCs w:val="24"/>
            <w:lang w:val="en-US"/>
          </w:rPr>
          <w:t>Schipperus</w:t>
        </w:r>
        <w:r w:rsidRPr="00055EE2">
          <w:rPr>
            <w:rStyle w:val="apple-converted-space"/>
            <w:color w:val="auto"/>
            <w:szCs w:val="24"/>
            <w:lang w:val="en-US"/>
          </w:rPr>
          <w:t> </w:t>
        </w:r>
      </w:hyperlink>
      <w:r w:rsidRPr="00055EE2">
        <w:rPr>
          <w:color w:val="auto"/>
          <w:szCs w:val="24"/>
          <w:lang w:val="en-US"/>
        </w:rPr>
        <w:t>M,</w:t>
      </w:r>
      <w:r w:rsidRPr="00055EE2">
        <w:rPr>
          <w:rStyle w:val="apple-converted-space"/>
          <w:color w:val="auto"/>
          <w:szCs w:val="24"/>
          <w:lang w:val="en-US"/>
        </w:rPr>
        <w:t> </w:t>
      </w:r>
      <w:hyperlink r:id="rId32" w:history="1">
        <w:r w:rsidRPr="00055EE2">
          <w:rPr>
            <w:rStyle w:val="Hipervnculo"/>
            <w:color w:val="auto"/>
            <w:szCs w:val="24"/>
            <w:lang w:val="en-US"/>
          </w:rPr>
          <w:t>Berning</w:t>
        </w:r>
        <w:r w:rsidRPr="00055EE2">
          <w:rPr>
            <w:rStyle w:val="apple-converted-space"/>
            <w:color w:val="auto"/>
            <w:szCs w:val="24"/>
            <w:lang w:val="en-US"/>
          </w:rPr>
          <w:t> </w:t>
        </w:r>
      </w:hyperlink>
      <w:r w:rsidRPr="00055EE2">
        <w:rPr>
          <w:color w:val="auto"/>
          <w:szCs w:val="24"/>
          <w:lang w:val="en-US"/>
        </w:rPr>
        <w:t>B,</w:t>
      </w:r>
      <w:r w:rsidRPr="00055EE2">
        <w:rPr>
          <w:rStyle w:val="apple-converted-space"/>
          <w:color w:val="auto"/>
          <w:szCs w:val="24"/>
          <w:lang w:val="en-US"/>
        </w:rPr>
        <w:t> </w:t>
      </w:r>
      <w:hyperlink r:id="rId33" w:history="1">
        <w:r w:rsidRPr="00055EE2">
          <w:rPr>
            <w:rStyle w:val="Hipervnculo"/>
            <w:color w:val="auto"/>
            <w:szCs w:val="24"/>
            <w:lang w:val="en-US"/>
          </w:rPr>
          <w:t>Scherjon</w:t>
        </w:r>
        <w:r w:rsidRPr="00055EE2">
          <w:rPr>
            <w:rStyle w:val="apple-converted-space"/>
            <w:color w:val="auto"/>
            <w:szCs w:val="24"/>
            <w:lang w:val="en-US"/>
          </w:rPr>
          <w:t> </w:t>
        </w:r>
      </w:hyperlink>
      <w:r w:rsidRPr="00055EE2">
        <w:rPr>
          <w:color w:val="auto"/>
          <w:szCs w:val="24"/>
          <w:lang w:val="en-US"/>
        </w:rPr>
        <w:t>S.</w:t>
      </w:r>
      <w:r w:rsidRPr="00055EE2">
        <w:rPr>
          <w:color w:val="auto"/>
          <w:szCs w:val="24"/>
          <w:shd w:val="clear" w:color="auto" w:fill="FFFFFF"/>
          <w:lang w:val="en-US"/>
        </w:rPr>
        <w:t xml:space="preserve"> Triggers and appropriateness of red blood cell transfusions in the postpartum patient a retrospective audit. </w:t>
      </w:r>
    </w:p>
    <w:p w14:paraId="2BFA6A54" w14:textId="77777777" w:rsidR="006050C3" w:rsidRPr="00055EE2" w:rsidRDefault="00AA7CD8" w:rsidP="006050C3">
      <w:pPr>
        <w:jc w:val="both"/>
        <w:rPr>
          <w:color w:val="auto"/>
          <w:szCs w:val="24"/>
          <w:lang w:val="en-US"/>
        </w:rPr>
      </w:pPr>
      <w:hyperlink r:id="rId34" w:tooltip="Vox sanguinis." w:history="1">
        <w:r w:rsidR="006050C3" w:rsidRPr="00055EE2">
          <w:rPr>
            <w:rStyle w:val="Hipervnculo"/>
            <w:color w:val="auto"/>
            <w:szCs w:val="24"/>
            <w:shd w:val="clear" w:color="auto" w:fill="FFFFFF"/>
            <w:lang w:val="en-US"/>
          </w:rPr>
          <w:t>Vox Sang.</w:t>
        </w:r>
      </w:hyperlink>
      <w:r w:rsidR="006050C3" w:rsidRPr="00055EE2">
        <w:rPr>
          <w:rStyle w:val="apple-converted-space"/>
          <w:color w:val="auto"/>
          <w:szCs w:val="24"/>
          <w:shd w:val="clear" w:color="auto" w:fill="FFFFFF"/>
          <w:lang w:val="en-US"/>
        </w:rPr>
        <w:t> </w:t>
      </w:r>
      <w:r w:rsidR="006050C3" w:rsidRPr="00055EE2">
        <w:rPr>
          <w:color w:val="auto"/>
          <w:szCs w:val="24"/>
          <w:shd w:val="clear" w:color="auto" w:fill="FFFFFF"/>
          <w:lang w:val="en-US"/>
        </w:rPr>
        <w:t>2010; 98: 65-9</w:t>
      </w:r>
    </w:p>
    <w:p w14:paraId="40CDF205" w14:textId="77777777" w:rsidR="006050C3" w:rsidRPr="00055EE2" w:rsidRDefault="006050C3" w:rsidP="006050C3">
      <w:pPr>
        <w:shd w:val="clear" w:color="auto" w:fill="FFFFFF"/>
        <w:spacing w:line="232" w:lineRule="atLeast"/>
        <w:jc w:val="both"/>
        <w:rPr>
          <w:rFonts w:eastAsia="Arial Unicode MS"/>
          <w:color w:val="auto"/>
          <w:szCs w:val="24"/>
          <w:lang w:val="en-US"/>
        </w:rPr>
      </w:pPr>
      <w:r w:rsidRPr="00055EE2">
        <w:rPr>
          <w:rStyle w:val="nlm-given-names"/>
          <w:color w:val="auto"/>
          <w:szCs w:val="24"/>
          <w:bdr w:val="none" w:sz="0" w:space="0" w:color="auto" w:frame="1"/>
          <w:shd w:val="clear" w:color="auto" w:fill="FFFFFE"/>
          <w:lang w:val="en-US"/>
        </w:rPr>
        <w:t>44.</w:t>
      </w:r>
      <w:r w:rsidRPr="00055EE2">
        <w:rPr>
          <w:rFonts w:eastAsia="Arial Unicode MS"/>
          <w:color w:val="auto"/>
          <w:szCs w:val="24"/>
          <w:lang w:val="en-US"/>
        </w:rPr>
        <w:t xml:space="preserve"> Vincent JL, Sakr Y, Sprung C,  Harboe S, Damas P, </w:t>
      </w:r>
      <w:r w:rsidRPr="00055EE2">
        <w:rPr>
          <w:rFonts w:eastAsia="Arial Unicode MS"/>
          <w:bCs/>
          <w:color w:val="auto"/>
          <w:szCs w:val="24"/>
          <w:lang w:val="en-US"/>
        </w:rPr>
        <w:t xml:space="preserve">Are blood transfusions associated with greater mortality rates? </w:t>
      </w:r>
      <w:r w:rsidRPr="00055EE2">
        <w:rPr>
          <w:color w:val="auto"/>
          <w:szCs w:val="24"/>
          <w:shd w:val="clear" w:color="auto" w:fill="FFFFFF"/>
          <w:lang w:val="en-US"/>
        </w:rPr>
        <w:t>Sepsis Occurrence in Acutely Ill Patients (SOAP) Investigators.</w:t>
      </w:r>
      <w:r w:rsidRPr="00055EE2">
        <w:rPr>
          <w:rFonts w:eastAsia="Arial Unicode MS"/>
          <w:bCs/>
          <w:color w:val="auto"/>
          <w:szCs w:val="24"/>
          <w:lang w:val="en-US"/>
        </w:rPr>
        <w:t xml:space="preserve">    </w:t>
      </w:r>
      <w:r w:rsidRPr="00055EE2">
        <w:rPr>
          <w:rFonts w:eastAsia="Arial Unicode MS"/>
          <w:color w:val="auto"/>
          <w:szCs w:val="24"/>
          <w:lang w:val="en-US"/>
        </w:rPr>
        <w:t xml:space="preserve"> Anesthesiology, 2008;108: 31-39</w:t>
      </w:r>
    </w:p>
    <w:p w14:paraId="37CA6F50" w14:textId="77777777" w:rsidR="006050C3" w:rsidRPr="00055EE2" w:rsidRDefault="006050C3" w:rsidP="006050C3">
      <w:pPr>
        <w:shd w:val="clear" w:color="auto" w:fill="FFFFFF"/>
        <w:spacing w:line="232" w:lineRule="atLeast"/>
        <w:jc w:val="both"/>
        <w:rPr>
          <w:rFonts w:eastAsia="Arial Unicode MS"/>
          <w:color w:val="auto"/>
          <w:szCs w:val="24"/>
          <w:lang w:val="en-US" w:eastAsia="es-AR"/>
        </w:rPr>
      </w:pPr>
      <w:r w:rsidRPr="00055EE2">
        <w:rPr>
          <w:color w:val="auto"/>
          <w:szCs w:val="24"/>
          <w:shd w:val="clear" w:color="auto" w:fill="FFFFFF"/>
          <w:lang w:val="en-US"/>
        </w:rPr>
        <w:t>45.</w:t>
      </w:r>
      <w:r w:rsidRPr="00055EE2">
        <w:rPr>
          <w:rFonts w:eastAsia="Arial Unicode MS"/>
          <w:color w:val="auto"/>
          <w:szCs w:val="24"/>
          <w:lang w:val="en-US"/>
        </w:rPr>
        <w:t xml:space="preserve"> </w:t>
      </w:r>
      <w:r w:rsidRPr="00055EE2">
        <w:rPr>
          <w:rFonts w:eastAsia="Arial Unicode MS"/>
          <w:color w:val="auto"/>
          <w:szCs w:val="24"/>
          <w:lang w:val="en-US" w:eastAsia="es-AR"/>
        </w:rPr>
        <w:t xml:space="preserve">L.T. Goodnough LT.  </w:t>
      </w:r>
      <w:r w:rsidRPr="00055EE2">
        <w:rPr>
          <w:rFonts w:eastAsia="Arial Unicode MS"/>
          <w:bCs/>
          <w:color w:val="auto"/>
          <w:szCs w:val="24"/>
          <w:lang w:val="en-US" w:eastAsia="es-AR"/>
        </w:rPr>
        <w:t>Risks of blood transfusión</w:t>
      </w:r>
      <w:r w:rsidRPr="00055EE2">
        <w:rPr>
          <w:rFonts w:eastAsia="Arial Unicode MS"/>
          <w:color w:val="auto"/>
          <w:szCs w:val="24"/>
          <w:lang w:val="en-US" w:eastAsia="es-AR"/>
        </w:rPr>
        <w:t>, Crit Care Med, 2003,31: S678- S686</w:t>
      </w:r>
    </w:p>
    <w:p w14:paraId="6C1D28C6" w14:textId="77777777" w:rsidR="006050C3" w:rsidRPr="00055EE2" w:rsidRDefault="006050C3" w:rsidP="006050C3">
      <w:pPr>
        <w:shd w:val="clear" w:color="auto" w:fill="FFFFFF"/>
        <w:spacing w:line="232" w:lineRule="atLeast"/>
        <w:jc w:val="both"/>
        <w:rPr>
          <w:rFonts w:eastAsia="Arial Unicode MS"/>
          <w:color w:val="auto"/>
          <w:szCs w:val="24"/>
          <w:lang w:val="en-US" w:eastAsia="es-AR"/>
        </w:rPr>
      </w:pPr>
      <w:r w:rsidRPr="00055EE2">
        <w:rPr>
          <w:rFonts w:eastAsia="Arial Unicode MS"/>
          <w:color w:val="auto"/>
          <w:szCs w:val="24"/>
          <w:lang w:val="en-US" w:eastAsia="es-AR"/>
        </w:rPr>
        <w:t xml:space="preserve">46. Hendrickson JE, Hillyer CD.  </w:t>
      </w:r>
      <w:r w:rsidRPr="00055EE2">
        <w:rPr>
          <w:rFonts w:eastAsia="Arial Unicode MS"/>
          <w:bCs/>
          <w:color w:val="auto"/>
          <w:szCs w:val="24"/>
          <w:lang w:val="en-US" w:eastAsia="es-AR"/>
        </w:rPr>
        <w:t>Noninfectious serious hazards of transfusión</w:t>
      </w:r>
      <w:r w:rsidRPr="00055EE2">
        <w:rPr>
          <w:rFonts w:eastAsia="Arial Unicode MS"/>
          <w:color w:val="auto"/>
          <w:szCs w:val="24"/>
          <w:lang w:val="en-US" w:eastAsia="es-AR"/>
        </w:rPr>
        <w:t>, Anesth Analg, 2009; 108:759-769</w:t>
      </w:r>
    </w:p>
    <w:p w14:paraId="35B23688" w14:textId="77777777" w:rsidR="006050C3" w:rsidRPr="00055EE2" w:rsidRDefault="006050C3" w:rsidP="006050C3">
      <w:pPr>
        <w:shd w:val="clear" w:color="auto" w:fill="FFFFFF"/>
        <w:spacing w:line="232" w:lineRule="atLeast"/>
        <w:jc w:val="both"/>
        <w:rPr>
          <w:rFonts w:eastAsia="Arial Unicode MS"/>
          <w:color w:val="auto"/>
          <w:szCs w:val="24"/>
          <w:lang w:val="en-US" w:eastAsia="es-AR"/>
        </w:rPr>
      </w:pPr>
      <w:r w:rsidRPr="00055EE2">
        <w:rPr>
          <w:rFonts w:eastAsia="Arial Unicode MS"/>
          <w:color w:val="auto"/>
          <w:szCs w:val="24"/>
          <w:lang w:val="en-US" w:eastAsia="es-AR"/>
        </w:rPr>
        <w:t xml:space="preserve">47. Vamvakas EC, Blajchman MA, </w:t>
      </w:r>
      <w:r w:rsidRPr="00055EE2">
        <w:rPr>
          <w:rFonts w:eastAsia="Arial Unicode MS"/>
          <w:bCs/>
          <w:color w:val="auto"/>
          <w:szCs w:val="24"/>
          <w:lang w:val="en-US" w:eastAsia="es-AR"/>
        </w:rPr>
        <w:t>Transfusion-related mortality: the ongoing risks of allogeneic blood transfusion and the available strategies for their prevention</w:t>
      </w:r>
      <w:r w:rsidRPr="00055EE2">
        <w:rPr>
          <w:rFonts w:eastAsia="Arial Unicode MS"/>
          <w:color w:val="auto"/>
          <w:szCs w:val="24"/>
          <w:lang w:val="en-US" w:eastAsia="es-AR"/>
        </w:rPr>
        <w:t>. Blood, 2009; 113:3406-3417</w:t>
      </w:r>
    </w:p>
    <w:p w14:paraId="10E2C9F7" w14:textId="77777777" w:rsidR="006050C3" w:rsidRPr="00055EE2" w:rsidRDefault="006050C3" w:rsidP="006050C3">
      <w:pPr>
        <w:shd w:val="clear" w:color="auto" w:fill="FFFFFF"/>
        <w:spacing w:line="232" w:lineRule="atLeast"/>
        <w:jc w:val="both"/>
        <w:rPr>
          <w:rFonts w:eastAsia="Arial Unicode MS"/>
          <w:color w:val="auto"/>
          <w:szCs w:val="24"/>
          <w:shd w:val="clear" w:color="auto" w:fill="FFFFFF"/>
          <w:lang w:val="en-US"/>
        </w:rPr>
      </w:pPr>
      <w:r w:rsidRPr="00055EE2">
        <w:rPr>
          <w:rFonts w:eastAsia="Arial Unicode MS"/>
          <w:color w:val="auto"/>
          <w:szCs w:val="24"/>
          <w:lang w:val="en-US" w:eastAsia="es-AR"/>
        </w:rPr>
        <w:t xml:space="preserve">48. </w:t>
      </w:r>
      <w:r w:rsidRPr="00055EE2">
        <w:rPr>
          <w:rFonts w:eastAsia="Arial Unicode MS"/>
          <w:color w:val="auto"/>
          <w:szCs w:val="24"/>
          <w:shd w:val="clear" w:color="auto" w:fill="FFFFFF"/>
          <w:lang w:val="en-US"/>
        </w:rPr>
        <w:t xml:space="preserve">Taylor C, Cohen H, Mold D, Jones H, Asher D, Cawley C, et al. On behalf of the Serious Hazards of Transfusion (SHOT) Steering Group. The 2008 Annual SHOT Report 2009 </w:t>
      </w:r>
    </w:p>
    <w:p w14:paraId="676AB1F0" w14:textId="77777777" w:rsidR="006050C3" w:rsidRPr="00055EE2" w:rsidRDefault="006050C3" w:rsidP="006050C3">
      <w:pPr>
        <w:shd w:val="clear" w:color="auto" w:fill="FFFFFF"/>
        <w:spacing w:line="232" w:lineRule="atLeast"/>
        <w:jc w:val="both"/>
        <w:rPr>
          <w:rFonts w:eastAsia="Arial Unicode MS"/>
          <w:color w:val="auto"/>
          <w:szCs w:val="24"/>
          <w:lang w:val="en-US" w:eastAsia="es-AR"/>
        </w:rPr>
      </w:pPr>
      <w:r w:rsidRPr="00055EE2">
        <w:rPr>
          <w:rFonts w:eastAsia="Arial Unicode MS"/>
          <w:color w:val="auto"/>
          <w:szCs w:val="24"/>
          <w:shd w:val="clear" w:color="auto" w:fill="FFFFFF"/>
          <w:lang w:val="en-US"/>
        </w:rPr>
        <w:t xml:space="preserve">49. </w:t>
      </w:r>
      <w:r w:rsidRPr="00055EE2">
        <w:rPr>
          <w:rFonts w:eastAsia="Arial Unicode MS"/>
          <w:color w:val="auto"/>
          <w:szCs w:val="24"/>
          <w:lang w:val="en-US" w:eastAsia="es-AR"/>
        </w:rPr>
        <w:t xml:space="preserve">E.A. Katz. </w:t>
      </w:r>
      <w:r w:rsidRPr="00055EE2">
        <w:rPr>
          <w:rFonts w:eastAsia="Arial Unicode MS"/>
          <w:bCs/>
          <w:color w:val="auto"/>
          <w:szCs w:val="24"/>
          <w:lang w:val="en-US" w:eastAsia="es-AR"/>
        </w:rPr>
        <w:t>Blood transfusion: friend or foe</w:t>
      </w:r>
      <w:r w:rsidRPr="00055EE2">
        <w:rPr>
          <w:rFonts w:eastAsia="Arial Unicode MS"/>
          <w:color w:val="auto"/>
          <w:szCs w:val="24"/>
          <w:lang w:val="en-US" w:eastAsia="es-AR"/>
        </w:rPr>
        <w:t>. AACN Adv Crit Care, 2009,20: 155-163</w:t>
      </w:r>
    </w:p>
    <w:p w14:paraId="033940A6" w14:textId="77777777" w:rsidR="006050C3" w:rsidRPr="00055EE2" w:rsidRDefault="006050C3" w:rsidP="006050C3">
      <w:pPr>
        <w:shd w:val="clear" w:color="auto" w:fill="FFFFFF"/>
        <w:spacing w:line="232" w:lineRule="atLeast"/>
        <w:jc w:val="both"/>
        <w:rPr>
          <w:rFonts w:eastAsia="Arial Unicode MS"/>
          <w:color w:val="auto"/>
          <w:szCs w:val="24"/>
          <w:lang w:val="en-US" w:eastAsia="es-AR"/>
        </w:rPr>
      </w:pPr>
      <w:r w:rsidRPr="00055EE2">
        <w:rPr>
          <w:rFonts w:eastAsia="Arial Unicode MS"/>
          <w:color w:val="auto"/>
          <w:szCs w:val="24"/>
          <w:lang w:val="en-US" w:eastAsia="es-AR"/>
        </w:rPr>
        <w:t xml:space="preserve">50. </w:t>
      </w:r>
      <w:r w:rsidRPr="00055EE2">
        <w:rPr>
          <w:color w:val="auto"/>
          <w:szCs w:val="24"/>
          <w:shd w:val="clear" w:color="auto" w:fill="FFFFFF"/>
          <w:lang w:val="en-US"/>
        </w:rPr>
        <w:t>Sayah DM, Looney MR, Toy P. Transfusion reactions: newer concepts on the pathophysiology, incidence, treatment, and prevention of transfusion-related acute lung injury. Crit Care Clin 2012;28:363-72.</w:t>
      </w:r>
    </w:p>
    <w:p w14:paraId="4671C877" w14:textId="77777777" w:rsidR="006050C3" w:rsidRPr="00055EE2" w:rsidRDefault="006050C3" w:rsidP="006050C3">
      <w:pPr>
        <w:shd w:val="clear" w:color="auto" w:fill="FFFFFF"/>
        <w:spacing w:line="232" w:lineRule="atLeast"/>
        <w:jc w:val="both"/>
        <w:rPr>
          <w:color w:val="auto"/>
          <w:szCs w:val="24"/>
          <w:shd w:val="clear" w:color="auto" w:fill="FFFFFF"/>
          <w:lang w:val="en-US"/>
        </w:rPr>
      </w:pPr>
      <w:r w:rsidRPr="00055EE2">
        <w:rPr>
          <w:rFonts w:eastAsia="Arial Unicode MS"/>
          <w:color w:val="auto"/>
          <w:szCs w:val="24"/>
          <w:lang w:val="en-US" w:eastAsia="es-AR"/>
        </w:rPr>
        <w:t xml:space="preserve">51. </w:t>
      </w:r>
      <w:r w:rsidRPr="00055EE2">
        <w:rPr>
          <w:color w:val="auto"/>
          <w:szCs w:val="24"/>
          <w:shd w:val="clear" w:color="auto" w:fill="FFFFFF"/>
          <w:lang w:val="en-US"/>
        </w:rPr>
        <w:t xml:space="preserve">Toy P, Popovsky MA, Abraham E, et al. Transfusion-related acute lung injury: Definition and review. Crit Care Med. 2005;33:721–726. </w:t>
      </w:r>
    </w:p>
    <w:p w14:paraId="162464DD" w14:textId="77777777" w:rsidR="006050C3" w:rsidRPr="00055EE2" w:rsidRDefault="006050C3" w:rsidP="006050C3">
      <w:pPr>
        <w:shd w:val="clear" w:color="auto" w:fill="FFFFFF"/>
        <w:spacing w:line="300" w:lineRule="atLeast"/>
        <w:jc w:val="both"/>
        <w:rPr>
          <w:rFonts w:eastAsia="Arial Unicode MS"/>
          <w:color w:val="auto"/>
          <w:szCs w:val="24"/>
          <w:lang w:eastAsia="es-AR"/>
        </w:rPr>
      </w:pPr>
      <w:r w:rsidRPr="00055EE2">
        <w:rPr>
          <w:color w:val="auto"/>
          <w:szCs w:val="24"/>
          <w:shd w:val="clear" w:color="auto" w:fill="FFFFFF"/>
          <w:lang w:val="en-US"/>
        </w:rPr>
        <w:t>52.</w:t>
      </w:r>
      <w:r w:rsidRPr="00055EE2">
        <w:rPr>
          <w:rFonts w:eastAsia="Arial Unicode MS"/>
          <w:color w:val="auto"/>
          <w:szCs w:val="24"/>
          <w:lang w:val="en-US" w:eastAsia="es-AR"/>
        </w:rPr>
        <w:t xml:space="preserve"> Koch CG, Li L, Sessler DI,  et al. </w:t>
      </w:r>
      <w:r w:rsidRPr="00055EE2">
        <w:rPr>
          <w:rFonts w:eastAsia="Arial Unicode MS"/>
          <w:bCs/>
          <w:color w:val="auto"/>
          <w:szCs w:val="24"/>
          <w:lang w:val="en-US" w:eastAsia="es-AR"/>
        </w:rPr>
        <w:t xml:space="preserve">Duration of red-cell storage and complications after cardiac surgery. </w:t>
      </w:r>
      <w:r w:rsidRPr="00055EE2">
        <w:rPr>
          <w:rFonts w:eastAsia="Arial Unicode MS"/>
          <w:color w:val="auto"/>
          <w:szCs w:val="24"/>
          <w:lang w:eastAsia="es-AR"/>
        </w:rPr>
        <w:t>N Engl J Med, 2008,358:1229-1239</w:t>
      </w:r>
    </w:p>
    <w:p w14:paraId="0D3E1E6C" w14:textId="77777777" w:rsidR="006050C3" w:rsidRPr="00055EE2" w:rsidRDefault="006050C3" w:rsidP="006050C3">
      <w:pPr>
        <w:shd w:val="clear" w:color="auto" w:fill="FFFFFF"/>
        <w:spacing w:after="0" w:line="300" w:lineRule="atLeast"/>
        <w:jc w:val="both"/>
        <w:rPr>
          <w:rFonts w:eastAsia="Arial Unicode MS"/>
          <w:color w:val="auto"/>
          <w:szCs w:val="24"/>
          <w:lang w:val="en-US" w:eastAsia="es-AR"/>
        </w:rPr>
      </w:pPr>
      <w:r w:rsidRPr="00055EE2">
        <w:rPr>
          <w:rFonts w:eastAsia="Arial Unicode MS"/>
          <w:color w:val="auto"/>
          <w:szCs w:val="24"/>
          <w:lang w:eastAsia="es-AR"/>
        </w:rPr>
        <w:t xml:space="preserve">53. Revista Argentina de </w:t>
      </w:r>
      <w:r w:rsidR="000119F3" w:rsidRPr="00055EE2">
        <w:rPr>
          <w:rFonts w:eastAsia="Arial Unicode MS"/>
          <w:color w:val="auto"/>
          <w:szCs w:val="24"/>
          <w:lang w:eastAsia="es-AR"/>
        </w:rPr>
        <w:t>Transfusión</w:t>
      </w:r>
      <w:r w:rsidRPr="00055EE2">
        <w:rPr>
          <w:rFonts w:eastAsia="Arial Unicode MS"/>
          <w:color w:val="auto"/>
          <w:szCs w:val="24"/>
          <w:lang w:eastAsia="es-AR"/>
        </w:rPr>
        <w:t xml:space="preserve"> de la Asociacion Argentina de Hemoterapia e Inmuno hematología. Guias nacionales para el uso apropiado de la sangre y sus componentes 2007; Vol. </w:t>
      </w:r>
      <w:r w:rsidRPr="00055EE2">
        <w:rPr>
          <w:rFonts w:eastAsia="Arial Unicode MS"/>
          <w:color w:val="auto"/>
          <w:szCs w:val="24"/>
          <w:lang w:val="en-US" w:eastAsia="es-AR"/>
        </w:rPr>
        <w:t>XXXIII.</w:t>
      </w:r>
    </w:p>
    <w:p w14:paraId="2321C830" w14:textId="77777777" w:rsidR="00A17574" w:rsidRPr="00055EE2" w:rsidRDefault="00A17574" w:rsidP="006050C3">
      <w:pPr>
        <w:shd w:val="clear" w:color="auto" w:fill="FFFFFF"/>
        <w:spacing w:after="0" w:line="300" w:lineRule="atLeast"/>
        <w:jc w:val="both"/>
        <w:rPr>
          <w:rFonts w:eastAsia="Arial Unicode MS"/>
          <w:color w:val="auto"/>
          <w:szCs w:val="24"/>
          <w:lang w:val="en-US" w:eastAsia="es-AR"/>
        </w:rPr>
      </w:pPr>
    </w:p>
    <w:p w14:paraId="6209A0B1" w14:textId="77777777" w:rsidR="006050C3" w:rsidRPr="00055EE2" w:rsidRDefault="006050C3" w:rsidP="006050C3">
      <w:pPr>
        <w:shd w:val="clear" w:color="auto" w:fill="FFFFFF"/>
        <w:spacing w:after="0" w:line="300" w:lineRule="atLeast"/>
        <w:jc w:val="both"/>
        <w:rPr>
          <w:rFonts w:eastAsia="Arial Unicode MS"/>
          <w:color w:val="auto"/>
          <w:szCs w:val="24"/>
          <w:lang w:eastAsia="es-AR"/>
        </w:rPr>
      </w:pPr>
      <w:r w:rsidRPr="00055EE2">
        <w:rPr>
          <w:rFonts w:eastAsia="Arial Unicode MS"/>
          <w:color w:val="auto"/>
          <w:szCs w:val="24"/>
          <w:lang w:val="en-US" w:eastAsia="es-AR"/>
        </w:rPr>
        <w:t xml:space="preserve">54. Park DW, Chun BC, Kwon SS, et al. Red blood cell tranfusions are associated with lower mortality in patients with severe sepsis and septic shock: a propensity- match analysis. </w:t>
      </w:r>
      <w:r w:rsidRPr="00055EE2">
        <w:rPr>
          <w:rFonts w:eastAsia="Arial Unicode MS"/>
          <w:color w:val="auto"/>
          <w:szCs w:val="24"/>
          <w:lang w:eastAsia="es-AR"/>
        </w:rPr>
        <w:t>Crit care clin 2012; 28:363-72</w:t>
      </w:r>
    </w:p>
    <w:p w14:paraId="26669C8A" w14:textId="77777777" w:rsidR="006050C3" w:rsidRPr="00055EE2" w:rsidRDefault="006050C3" w:rsidP="002E4EFB">
      <w:pPr>
        <w:rPr>
          <w:rFonts w:eastAsia="Arial Unicode MS"/>
          <w:color w:val="auto"/>
          <w:szCs w:val="24"/>
          <w:lang w:eastAsia="es-AR"/>
        </w:rPr>
      </w:pPr>
      <w:r w:rsidRPr="00055EE2">
        <w:rPr>
          <w:rFonts w:eastAsia="Arial Unicode MS"/>
          <w:color w:val="auto"/>
          <w:szCs w:val="24"/>
          <w:lang w:eastAsia="es-AR"/>
        </w:rPr>
        <w:t xml:space="preserve"> </w:t>
      </w:r>
    </w:p>
    <w:sectPr w:rsidR="006050C3" w:rsidRPr="00055EE2" w:rsidSect="00CD3DD8">
      <w:footerReference w:type="default" r:id="rId35"/>
      <w:pgSz w:w="11907" w:h="16839"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2D1E" w14:textId="77777777" w:rsidR="00026545" w:rsidRDefault="00026545" w:rsidP="00D0664D">
      <w:pPr>
        <w:spacing w:after="0" w:line="240" w:lineRule="auto"/>
      </w:pPr>
      <w:r>
        <w:separator/>
      </w:r>
    </w:p>
  </w:endnote>
  <w:endnote w:type="continuationSeparator" w:id="0">
    <w:p w14:paraId="723A163A" w14:textId="77777777" w:rsidR="00026545" w:rsidRDefault="00026545" w:rsidP="00D0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02839"/>
      <w:docPartObj>
        <w:docPartGallery w:val="Page Numbers (Bottom of Page)"/>
        <w:docPartUnique/>
      </w:docPartObj>
    </w:sdtPr>
    <w:sdtEndPr/>
    <w:sdtContent>
      <w:p w14:paraId="257F891C" w14:textId="3963EC1A" w:rsidR="00791FF2" w:rsidRDefault="00AA7CD8">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28BBAC5F" w14:textId="77777777" w:rsidR="00791FF2" w:rsidRDefault="00791F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19649" w14:textId="77777777" w:rsidR="00026545" w:rsidRDefault="00026545" w:rsidP="00D0664D">
      <w:pPr>
        <w:spacing w:after="0" w:line="240" w:lineRule="auto"/>
      </w:pPr>
      <w:r>
        <w:separator/>
      </w:r>
    </w:p>
  </w:footnote>
  <w:footnote w:type="continuationSeparator" w:id="0">
    <w:p w14:paraId="31F813F7" w14:textId="77777777" w:rsidR="00026545" w:rsidRDefault="00026545" w:rsidP="00D0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182"/>
    <w:multiLevelType w:val="hybridMultilevel"/>
    <w:tmpl w:val="50240278"/>
    <w:lvl w:ilvl="0" w:tplc="A552CA66">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DA5C4A"/>
    <w:multiLevelType w:val="multilevel"/>
    <w:tmpl w:val="90D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4DD"/>
    <w:multiLevelType w:val="hybridMultilevel"/>
    <w:tmpl w:val="9BBC13F8"/>
    <w:lvl w:ilvl="0" w:tplc="9A60E2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815C8D"/>
    <w:multiLevelType w:val="hybridMultilevel"/>
    <w:tmpl w:val="48FC7896"/>
    <w:lvl w:ilvl="0" w:tplc="9A62346A">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A71A39"/>
    <w:multiLevelType w:val="hybridMultilevel"/>
    <w:tmpl w:val="4ABA351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E2C3FB1"/>
    <w:multiLevelType w:val="hybridMultilevel"/>
    <w:tmpl w:val="DAA21B7C"/>
    <w:lvl w:ilvl="0" w:tplc="0C80E99E">
      <w:numFmt w:val="bullet"/>
      <w:lvlText w:val=""/>
      <w:lvlJc w:val="left"/>
      <w:pPr>
        <w:ind w:left="4080" w:hanging="360"/>
      </w:pPr>
      <w:rPr>
        <w:rFonts w:ascii="Symbol" w:eastAsiaTheme="minorHAnsi" w:hAnsi="Symbol" w:cs="Times New Roman" w:hint="default"/>
        <w:sz w:val="18"/>
      </w:rPr>
    </w:lvl>
    <w:lvl w:ilvl="1" w:tplc="2C0A0003" w:tentative="1">
      <w:start w:val="1"/>
      <w:numFmt w:val="bullet"/>
      <w:lvlText w:val="o"/>
      <w:lvlJc w:val="left"/>
      <w:pPr>
        <w:ind w:left="4800" w:hanging="360"/>
      </w:pPr>
      <w:rPr>
        <w:rFonts w:ascii="Courier New" w:hAnsi="Courier New" w:cs="Courier New" w:hint="default"/>
      </w:rPr>
    </w:lvl>
    <w:lvl w:ilvl="2" w:tplc="2C0A0005" w:tentative="1">
      <w:start w:val="1"/>
      <w:numFmt w:val="bullet"/>
      <w:lvlText w:val=""/>
      <w:lvlJc w:val="left"/>
      <w:pPr>
        <w:ind w:left="5520" w:hanging="360"/>
      </w:pPr>
      <w:rPr>
        <w:rFonts w:ascii="Wingdings" w:hAnsi="Wingdings" w:hint="default"/>
      </w:rPr>
    </w:lvl>
    <w:lvl w:ilvl="3" w:tplc="2C0A0001" w:tentative="1">
      <w:start w:val="1"/>
      <w:numFmt w:val="bullet"/>
      <w:lvlText w:val=""/>
      <w:lvlJc w:val="left"/>
      <w:pPr>
        <w:ind w:left="6240" w:hanging="360"/>
      </w:pPr>
      <w:rPr>
        <w:rFonts w:ascii="Symbol" w:hAnsi="Symbol" w:hint="default"/>
      </w:rPr>
    </w:lvl>
    <w:lvl w:ilvl="4" w:tplc="2C0A0003" w:tentative="1">
      <w:start w:val="1"/>
      <w:numFmt w:val="bullet"/>
      <w:lvlText w:val="o"/>
      <w:lvlJc w:val="left"/>
      <w:pPr>
        <w:ind w:left="6960" w:hanging="360"/>
      </w:pPr>
      <w:rPr>
        <w:rFonts w:ascii="Courier New" w:hAnsi="Courier New" w:cs="Courier New" w:hint="default"/>
      </w:rPr>
    </w:lvl>
    <w:lvl w:ilvl="5" w:tplc="2C0A0005" w:tentative="1">
      <w:start w:val="1"/>
      <w:numFmt w:val="bullet"/>
      <w:lvlText w:val=""/>
      <w:lvlJc w:val="left"/>
      <w:pPr>
        <w:ind w:left="7680" w:hanging="360"/>
      </w:pPr>
      <w:rPr>
        <w:rFonts w:ascii="Wingdings" w:hAnsi="Wingdings" w:hint="default"/>
      </w:rPr>
    </w:lvl>
    <w:lvl w:ilvl="6" w:tplc="2C0A0001" w:tentative="1">
      <w:start w:val="1"/>
      <w:numFmt w:val="bullet"/>
      <w:lvlText w:val=""/>
      <w:lvlJc w:val="left"/>
      <w:pPr>
        <w:ind w:left="8400" w:hanging="360"/>
      </w:pPr>
      <w:rPr>
        <w:rFonts w:ascii="Symbol" w:hAnsi="Symbol" w:hint="default"/>
      </w:rPr>
    </w:lvl>
    <w:lvl w:ilvl="7" w:tplc="2C0A0003" w:tentative="1">
      <w:start w:val="1"/>
      <w:numFmt w:val="bullet"/>
      <w:lvlText w:val="o"/>
      <w:lvlJc w:val="left"/>
      <w:pPr>
        <w:ind w:left="9120" w:hanging="360"/>
      </w:pPr>
      <w:rPr>
        <w:rFonts w:ascii="Courier New" w:hAnsi="Courier New" w:cs="Courier New" w:hint="default"/>
      </w:rPr>
    </w:lvl>
    <w:lvl w:ilvl="8" w:tplc="2C0A0005" w:tentative="1">
      <w:start w:val="1"/>
      <w:numFmt w:val="bullet"/>
      <w:lvlText w:val=""/>
      <w:lvlJc w:val="left"/>
      <w:pPr>
        <w:ind w:left="9840" w:hanging="360"/>
      </w:pPr>
      <w:rPr>
        <w:rFonts w:ascii="Wingdings" w:hAnsi="Wingdings" w:hint="default"/>
      </w:rPr>
    </w:lvl>
  </w:abstractNum>
  <w:abstractNum w:abstractNumId="6" w15:restartNumberingAfterBreak="0">
    <w:nsid w:val="23A40DE1"/>
    <w:multiLevelType w:val="multilevel"/>
    <w:tmpl w:val="5BB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620AD"/>
    <w:multiLevelType w:val="hybridMultilevel"/>
    <w:tmpl w:val="8FB6D5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4A278D0"/>
    <w:multiLevelType w:val="hybridMultilevel"/>
    <w:tmpl w:val="2266048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A1C15DF"/>
    <w:multiLevelType w:val="multilevel"/>
    <w:tmpl w:val="9B1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64475C"/>
    <w:multiLevelType w:val="hybridMultilevel"/>
    <w:tmpl w:val="AC80521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7A00DBB"/>
    <w:multiLevelType w:val="hybridMultilevel"/>
    <w:tmpl w:val="7F380F02"/>
    <w:lvl w:ilvl="0" w:tplc="5BA8A84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6914159"/>
    <w:multiLevelType w:val="hybridMultilevel"/>
    <w:tmpl w:val="589607F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9D055F6"/>
    <w:multiLevelType w:val="hybridMultilevel"/>
    <w:tmpl w:val="FF3C3C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0766801"/>
    <w:multiLevelType w:val="hybridMultilevel"/>
    <w:tmpl w:val="2BA4AB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1524E8C"/>
    <w:multiLevelType w:val="hybridMultilevel"/>
    <w:tmpl w:val="0C50C23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16C30F9"/>
    <w:multiLevelType w:val="hybridMultilevel"/>
    <w:tmpl w:val="0C6CD98A"/>
    <w:lvl w:ilvl="0" w:tplc="10668C5C">
      <w:numFmt w:val="bullet"/>
      <w:lvlText w:val=""/>
      <w:lvlJc w:val="left"/>
      <w:pPr>
        <w:ind w:left="4035" w:hanging="360"/>
      </w:pPr>
      <w:rPr>
        <w:rFonts w:ascii="Symbol" w:eastAsiaTheme="minorHAnsi" w:hAnsi="Symbol" w:cs="Times New Roman" w:hint="default"/>
        <w:sz w:val="16"/>
      </w:rPr>
    </w:lvl>
    <w:lvl w:ilvl="1" w:tplc="2C0A0003" w:tentative="1">
      <w:start w:val="1"/>
      <w:numFmt w:val="bullet"/>
      <w:lvlText w:val="o"/>
      <w:lvlJc w:val="left"/>
      <w:pPr>
        <w:ind w:left="4755" w:hanging="360"/>
      </w:pPr>
      <w:rPr>
        <w:rFonts w:ascii="Courier New" w:hAnsi="Courier New" w:cs="Courier New" w:hint="default"/>
      </w:rPr>
    </w:lvl>
    <w:lvl w:ilvl="2" w:tplc="2C0A0005" w:tentative="1">
      <w:start w:val="1"/>
      <w:numFmt w:val="bullet"/>
      <w:lvlText w:val=""/>
      <w:lvlJc w:val="left"/>
      <w:pPr>
        <w:ind w:left="5475" w:hanging="360"/>
      </w:pPr>
      <w:rPr>
        <w:rFonts w:ascii="Wingdings" w:hAnsi="Wingdings" w:hint="default"/>
      </w:rPr>
    </w:lvl>
    <w:lvl w:ilvl="3" w:tplc="2C0A0001" w:tentative="1">
      <w:start w:val="1"/>
      <w:numFmt w:val="bullet"/>
      <w:lvlText w:val=""/>
      <w:lvlJc w:val="left"/>
      <w:pPr>
        <w:ind w:left="6195" w:hanging="360"/>
      </w:pPr>
      <w:rPr>
        <w:rFonts w:ascii="Symbol" w:hAnsi="Symbol" w:hint="default"/>
      </w:rPr>
    </w:lvl>
    <w:lvl w:ilvl="4" w:tplc="2C0A0003" w:tentative="1">
      <w:start w:val="1"/>
      <w:numFmt w:val="bullet"/>
      <w:lvlText w:val="o"/>
      <w:lvlJc w:val="left"/>
      <w:pPr>
        <w:ind w:left="6915" w:hanging="360"/>
      </w:pPr>
      <w:rPr>
        <w:rFonts w:ascii="Courier New" w:hAnsi="Courier New" w:cs="Courier New" w:hint="default"/>
      </w:rPr>
    </w:lvl>
    <w:lvl w:ilvl="5" w:tplc="2C0A0005" w:tentative="1">
      <w:start w:val="1"/>
      <w:numFmt w:val="bullet"/>
      <w:lvlText w:val=""/>
      <w:lvlJc w:val="left"/>
      <w:pPr>
        <w:ind w:left="7635" w:hanging="360"/>
      </w:pPr>
      <w:rPr>
        <w:rFonts w:ascii="Wingdings" w:hAnsi="Wingdings" w:hint="default"/>
      </w:rPr>
    </w:lvl>
    <w:lvl w:ilvl="6" w:tplc="2C0A0001" w:tentative="1">
      <w:start w:val="1"/>
      <w:numFmt w:val="bullet"/>
      <w:lvlText w:val=""/>
      <w:lvlJc w:val="left"/>
      <w:pPr>
        <w:ind w:left="8355" w:hanging="360"/>
      </w:pPr>
      <w:rPr>
        <w:rFonts w:ascii="Symbol" w:hAnsi="Symbol" w:hint="default"/>
      </w:rPr>
    </w:lvl>
    <w:lvl w:ilvl="7" w:tplc="2C0A0003" w:tentative="1">
      <w:start w:val="1"/>
      <w:numFmt w:val="bullet"/>
      <w:lvlText w:val="o"/>
      <w:lvlJc w:val="left"/>
      <w:pPr>
        <w:ind w:left="9075" w:hanging="360"/>
      </w:pPr>
      <w:rPr>
        <w:rFonts w:ascii="Courier New" w:hAnsi="Courier New" w:cs="Courier New" w:hint="default"/>
      </w:rPr>
    </w:lvl>
    <w:lvl w:ilvl="8" w:tplc="2C0A0005" w:tentative="1">
      <w:start w:val="1"/>
      <w:numFmt w:val="bullet"/>
      <w:lvlText w:val=""/>
      <w:lvlJc w:val="left"/>
      <w:pPr>
        <w:ind w:left="9795" w:hanging="360"/>
      </w:pPr>
      <w:rPr>
        <w:rFonts w:ascii="Wingdings" w:hAnsi="Wingdings" w:hint="default"/>
      </w:rPr>
    </w:lvl>
  </w:abstractNum>
  <w:abstractNum w:abstractNumId="17" w15:restartNumberingAfterBreak="0">
    <w:nsid w:val="68FA7E15"/>
    <w:multiLevelType w:val="multilevel"/>
    <w:tmpl w:val="876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9B4A1D"/>
    <w:multiLevelType w:val="multilevel"/>
    <w:tmpl w:val="ECAC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A34D2E"/>
    <w:multiLevelType w:val="multilevel"/>
    <w:tmpl w:val="275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4F5981"/>
    <w:multiLevelType w:val="multilevel"/>
    <w:tmpl w:val="FD2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F92890"/>
    <w:multiLevelType w:val="hybridMultilevel"/>
    <w:tmpl w:val="CCA45E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F5826A8"/>
    <w:multiLevelType w:val="hybridMultilevel"/>
    <w:tmpl w:val="76DA1D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
  </w:num>
  <w:num w:numId="4">
    <w:abstractNumId w:val="14"/>
  </w:num>
  <w:num w:numId="5">
    <w:abstractNumId w:val="7"/>
  </w:num>
  <w:num w:numId="6">
    <w:abstractNumId w:val="22"/>
  </w:num>
  <w:num w:numId="7">
    <w:abstractNumId w:val="19"/>
  </w:num>
  <w:num w:numId="8">
    <w:abstractNumId w:val="20"/>
  </w:num>
  <w:num w:numId="9">
    <w:abstractNumId w:val="1"/>
  </w:num>
  <w:num w:numId="10">
    <w:abstractNumId w:val="9"/>
  </w:num>
  <w:num w:numId="11">
    <w:abstractNumId w:val="17"/>
  </w:num>
  <w:num w:numId="12">
    <w:abstractNumId w:val="6"/>
  </w:num>
  <w:num w:numId="13">
    <w:abstractNumId w:val="18"/>
  </w:num>
  <w:num w:numId="14">
    <w:abstractNumId w:val="0"/>
  </w:num>
  <w:num w:numId="15">
    <w:abstractNumId w:val="3"/>
  </w:num>
  <w:num w:numId="16">
    <w:abstractNumId w:val="15"/>
  </w:num>
  <w:num w:numId="17">
    <w:abstractNumId w:val="8"/>
  </w:num>
  <w:num w:numId="18">
    <w:abstractNumId w:val="21"/>
  </w:num>
  <w:num w:numId="19">
    <w:abstractNumId w:val="4"/>
  </w:num>
  <w:num w:numId="20">
    <w:abstractNumId w:val="10"/>
  </w:num>
  <w:num w:numId="21">
    <w:abstractNumId w:val="12"/>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C3"/>
    <w:rsid w:val="00011183"/>
    <w:rsid w:val="000119F3"/>
    <w:rsid w:val="0001575F"/>
    <w:rsid w:val="000239D2"/>
    <w:rsid w:val="00026545"/>
    <w:rsid w:val="0003689A"/>
    <w:rsid w:val="000413C2"/>
    <w:rsid w:val="00046C89"/>
    <w:rsid w:val="000471FD"/>
    <w:rsid w:val="00055EE2"/>
    <w:rsid w:val="00066AFE"/>
    <w:rsid w:val="00072342"/>
    <w:rsid w:val="00085A5A"/>
    <w:rsid w:val="00086764"/>
    <w:rsid w:val="00087DD7"/>
    <w:rsid w:val="000905A8"/>
    <w:rsid w:val="00091B5C"/>
    <w:rsid w:val="0009430B"/>
    <w:rsid w:val="000A4F4B"/>
    <w:rsid w:val="000A4F6B"/>
    <w:rsid w:val="0011196A"/>
    <w:rsid w:val="00144E02"/>
    <w:rsid w:val="00153235"/>
    <w:rsid w:val="001566EF"/>
    <w:rsid w:val="001575F1"/>
    <w:rsid w:val="00170FC6"/>
    <w:rsid w:val="00174EBF"/>
    <w:rsid w:val="00190637"/>
    <w:rsid w:val="001B09F5"/>
    <w:rsid w:val="001B45AD"/>
    <w:rsid w:val="001B6F12"/>
    <w:rsid w:val="001C64DE"/>
    <w:rsid w:val="001D14AD"/>
    <w:rsid w:val="001D6FD3"/>
    <w:rsid w:val="001F66AC"/>
    <w:rsid w:val="00212ACD"/>
    <w:rsid w:val="0022197D"/>
    <w:rsid w:val="002278A9"/>
    <w:rsid w:val="00231B50"/>
    <w:rsid w:val="0023387C"/>
    <w:rsid w:val="00240499"/>
    <w:rsid w:val="00254CA2"/>
    <w:rsid w:val="0026585F"/>
    <w:rsid w:val="0026781A"/>
    <w:rsid w:val="00273248"/>
    <w:rsid w:val="002870B6"/>
    <w:rsid w:val="002A0740"/>
    <w:rsid w:val="002A1610"/>
    <w:rsid w:val="002A7879"/>
    <w:rsid w:val="002B000A"/>
    <w:rsid w:val="002B5803"/>
    <w:rsid w:val="002B683A"/>
    <w:rsid w:val="002C5F8B"/>
    <w:rsid w:val="002E001B"/>
    <w:rsid w:val="002E30E4"/>
    <w:rsid w:val="002E3AA2"/>
    <w:rsid w:val="002E4EFB"/>
    <w:rsid w:val="002F6391"/>
    <w:rsid w:val="00307ED2"/>
    <w:rsid w:val="003271F7"/>
    <w:rsid w:val="00331CB9"/>
    <w:rsid w:val="003327AE"/>
    <w:rsid w:val="00332833"/>
    <w:rsid w:val="00363784"/>
    <w:rsid w:val="00374AD7"/>
    <w:rsid w:val="00374C8F"/>
    <w:rsid w:val="00380EC9"/>
    <w:rsid w:val="00383714"/>
    <w:rsid w:val="0039507E"/>
    <w:rsid w:val="003A7A20"/>
    <w:rsid w:val="003D37D3"/>
    <w:rsid w:val="003D5D5D"/>
    <w:rsid w:val="003D6470"/>
    <w:rsid w:val="003E59BB"/>
    <w:rsid w:val="003F61F1"/>
    <w:rsid w:val="00401C10"/>
    <w:rsid w:val="00402F75"/>
    <w:rsid w:val="00424A78"/>
    <w:rsid w:val="00426330"/>
    <w:rsid w:val="00427879"/>
    <w:rsid w:val="0043711B"/>
    <w:rsid w:val="004438A0"/>
    <w:rsid w:val="00473B6F"/>
    <w:rsid w:val="00492D7F"/>
    <w:rsid w:val="004A5D58"/>
    <w:rsid w:val="004B1D49"/>
    <w:rsid w:val="004C2B44"/>
    <w:rsid w:val="004D5607"/>
    <w:rsid w:val="004E0B88"/>
    <w:rsid w:val="004E6117"/>
    <w:rsid w:val="0050074D"/>
    <w:rsid w:val="0051705B"/>
    <w:rsid w:val="00526BC0"/>
    <w:rsid w:val="00534A62"/>
    <w:rsid w:val="00541BBF"/>
    <w:rsid w:val="00542100"/>
    <w:rsid w:val="0054595D"/>
    <w:rsid w:val="00546DAE"/>
    <w:rsid w:val="00547D5E"/>
    <w:rsid w:val="005564CD"/>
    <w:rsid w:val="00561869"/>
    <w:rsid w:val="00567F89"/>
    <w:rsid w:val="00591AA6"/>
    <w:rsid w:val="005A088D"/>
    <w:rsid w:val="005A2F9A"/>
    <w:rsid w:val="005A55D8"/>
    <w:rsid w:val="005C0611"/>
    <w:rsid w:val="005C4971"/>
    <w:rsid w:val="005E0090"/>
    <w:rsid w:val="005E0C99"/>
    <w:rsid w:val="005E34FD"/>
    <w:rsid w:val="005E6FD4"/>
    <w:rsid w:val="006050C3"/>
    <w:rsid w:val="00620721"/>
    <w:rsid w:val="00640DBD"/>
    <w:rsid w:val="006424FB"/>
    <w:rsid w:val="00642B1F"/>
    <w:rsid w:val="00645B28"/>
    <w:rsid w:val="00652F89"/>
    <w:rsid w:val="0065436F"/>
    <w:rsid w:val="00660FA5"/>
    <w:rsid w:val="00662444"/>
    <w:rsid w:val="00664B3C"/>
    <w:rsid w:val="0068717B"/>
    <w:rsid w:val="0069342F"/>
    <w:rsid w:val="00696357"/>
    <w:rsid w:val="006971C7"/>
    <w:rsid w:val="006A47B5"/>
    <w:rsid w:val="006A7AE7"/>
    <w:rsid w:val="006B3FE9"/>
    <w:rsid w:val="006C72E9"/>
    <w:rsid w:val="006D0E71"/>
    <w:rsid w:val="00705C61"/>
    <w:rsid w:val="00717C73"/>
    <w:rsid w:val="0073386B"/>
    <w:rsid w:val="00754B98"/>
    <w:rsid w:val="0077185F"/>
    <w:rsid w:val="007744E8"/>
    <w:rsid w:val="00774FDD"/>
    <w:rsid w:val="00791FF2"/>
    <w:rsid w:val="0079416B"/>
    <w:rsid w:val="007A2731"/>
    <w:rsid w:val="007A5F6C"/>
    <w:rsid w:val="007C3011"/>
    <w:rsid w:val="007E1261"/>
    <w:rsid w:val="007F5034"/>
    <w:rsid w:val="007F738F"/>
    <w:rsid w:val="00801924"/>
    <w:rsid w:val="00803771"/>
    <w:rsid w:val="008108E9"/>
    <w:rsid w:val="008323FB"/>
    <w:rsid w:val="00833587"/>
    <w:rsid w:val="0083432C"/>
    <w:rsid w:val="00842DA2"/>
    <w:rsid w:val="008441D8"/>
    <w:rsid w:val="0084664B"/>
    <w:rsid w:val="008524E7"/>
    <w:rsid w:val="00853C4F"/>
    <w:rsid w:val="00866EC4"/>
    <w:rsid w:val="008C0A39"/>
    <w:rsid w:val="008D3FAA"/>
    <w:rsid w:val="008F25A5"/>
    <w:rsid w:val="008F5F72"/>
    <w:rsid w:val="00902B55"/>
    <w:rsid w:val="009067E9"/>
    <w:rsid w:val="0090751B"/>
    <w:rsid w:val="00912586"/>
    <w:rsid w:val="00925397"/>
    <w:rsid w:val="00944F3F"/>
    <w:rsid w:val="00947E27"/>
    <w:rsid w:val="00963EBC"/>
    <w:rsid w:val="00965C25"/>
    <w:rsid w:val="00976956"/>
    <w:rsid w:val="00976A4B"/>
    <w:rsid w:val="009838BC"/>
    <w:rsid w:val="00986145"/>
    <w:rsid w:val="0099084A"/>
    <w:rsid w:val="00992E77"/>
    <w:rsid w:val="009B20BE"/>
    <w:rsid w:val="009B371F"/>
    <w:rsid w:val="009C4035"/>
    <w:rsid w:val="009C6E88"/>
    <w:rsid w:val="009E2ED9"/>
    <w:rsid w:val="009E6EDF"/>
    <w:rsid w:val="009E71DC"/>
    <w:rsid w:val="009F3485"/>
    <w:rsid w:val="00A1549F"/>
    <w:rsid w:val="00A17574"/>
    <w:rsid w:val="00A2265D"/>
    <w:rsid w:val="00A22FAA"/>
    <w:rsid w:val="00A277E5"/>
    <w:rsid w:val="00A32BEC"/>
    <w:rsid w:val="00A34E5D"/>
    <w:rsid w:val="00A35D37"/>
    <w:rsid w:val="00A4502F"/>
    <w:rsid w:val="00A61874"/>
    <w:rsid w:val="00A627F9"/>
    <w:rsid w:val="00A62A41"/>
    <w:rsid w:val="00A81C20"/>
    <w:rsid w:val="00A822D8"/>
    <w:rsid w:val="00A84D9E"/>
    <w:rsid w:val="00A94453"/>
    <w:rsid w:val="00AA7CD8"/>
    <w:rsid w:val="00AB18C7"/>
    <w:rsid w:val="00AC42C7"/>
    <w:rsid w:val="00AC4C4F"/>
    <w:rsid w:val="00AC4F24"/>
    <w:rsid w:val="00AD417D"/>
    <w:rsid w:val="00AE1622"/>
    <w:rsid w:val="00AE20EE"/>
    <w:rsid w:val="00AE3D79"/>
    <w:rsid w:val="00AE6415"/>
    <w:rsid w:val="00B00308"/>
    <w:rsid w:val="00B112AC"/>
    <w:rsid w:val="00B147FE"/>
    <w:rsid w:val="00B1797A"/>
    <w:rsid w:val="00B3392E"/>
    <w:rsid w:val="00B50F0B"/>
    <w:rsid w:val="00B53DC2"/>
    <w:rsid w:val="00B622C6"/>
    <w:rsid w:val="00B6383B"/>
    <w:rsid w:val="00B751BD"/>
    <w:rsid w:val="00B77AF3"/>
    <w:rsid w:val="00BA550D"/>
    <w:rsid w:val="00BC2671"/>
    <w:rsid w:val="00BD4538"/>
    <w:rsid w:val="00BF1AEF"/>
    <w:rsid w:val="00C17A96"/>
    <w:rsid w:val="00C367DA"/>
    <w:rsid w:val="00C6487E"/>
    <w:rsid w:val="00C70C0D"/>
    <w:rsid w:val="00C86F66"/>
    <w:rsid w:val="00C87C5F"/>
    <w:rsid w:val="00C92187"/>
    <w:rsid w:val="00CB0933"/>
    <w:rsid w:val="00CB1662"/>
    <w:rsid w:val="00CB2030"/>
    <w:rsid w:val="00CB45ED"/>
    <w:rsid w:val="00CD3AAB"/>
    <w:rsid w:val="00CD3DD8"/>
    <w:rsid w:val="00CD65F8"/>
    <w:rsid w:val="00CE6620"/>
    <w:rsid w:val="00CF044A"/>
    <w:rsid w:val="00CF584C"/>
    <w:rsid w:val="00CF7562"/>
    <w:rsid w:val="00D0664D"/>
    <w:rsid w:val="00D07A45"/>
    <w:rsid w:val="00D1218D"/>
    <w:rsid w:val="00D12738"/>
    <w:rsid w:val="00D150FA"/>
    <w:rsid w:val="00D248DB"/>
    <w:rsid w:val="00D37A13"/>
    <w:rsid w:val="00D60698"/>
    <w:rsid w:val="00D63435"/>
    <w:rsid w:val="00D712E0"/>
    <w:rsid w:val="00D72F0F"/>
    <w:rsid w:val="00D879BE"/>
    <w:rsid w:val="00DA0DC4"/>
    <w:rsid w:val="00DA5F5B"/>
    <w:rsid w:val="00DF0144"/>
    <w:rsid w:val="00E05E2F"/>
    <w:rsid w:val="00E2079B"/>
    <w:rsid w:val="00E34B89"/>
    <w:rsid w:val="00E4142A"/>
    <w:rsid w:val="00E4544F"/>
    <w:rsid w:val="00E64ECB"/>
    <w:rsid w:val="00E77B3A"/>
    <w:rsid w:val="00E90C5C"/>
    <w:rsid w:val="00E95119"/>
    <w:rsid w:val="00EA0EE8"/>
    <w:rsid w:val="00EA512B"/>
    <w:rsid w:val="00ED423F"/>
    <w:rsid w:val="00ED53F7"/>
    <w:rsid w:val="00EF643A"/>
    <w:rsid w:val="00F009A7"/>
    <w:rsid w:val="00F13246"/>
    <w:rsid w:val="00F17123"/>
    <w:rsid w:val="00F23359"/>
    <w:rsid w:val="00F31E38"/>
    <w:rsid w:val="00F34309"/>
    <w:rsid w:val="00F3778E"/>
    <w:rsid w:val="00F416E5"/>
    <w:rsid w:val="00F61A5D"/>
    <w:rsid w:val="00F831BC"/>
    <w:rsid w:val="00F929DB"/>
    <w:rsid w:val="00F93BBC"/>
    <w:rsid w:val="00F97FC3"/>
    <w:rsid w:val="00FC1AF3"/>
    <w:rsid w:val="00FC25F2"/>
    <w:rsid w:val="00FC3263"/>
    <w:rsid w:val="00FC671D"/>
    <w:rsid w:val="00FD1F89"/>
    <w:rsid w:val="00FE00B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C3B6"/>
  <w15:docId w15:val="{73FE5A01-DFF0-46A7-AA28-F7E365DC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18"/>
        <w:lang w:val="es-A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50C3"/>
  </w:style>
  <w:style w:type="paragraph" w:styleId="Ttulo1">
    <w:name w:val="heading 1"/>
    <w:basedOn w:val="Normal"/>
    <w:next w:val="Normal"/>
    <w:link w:val="Ttulo1Car"/>
    <w:uiPriority w:val="9"/>
    <w:qFormat/>
    <w:rsid w:val="00605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050C3"/>
    <w:pPr>
      <w:spacing w:before="100" w:beforeAutospacing="1" w:after="100" w:afterAutospacing="1" w:line="240" w:lineRule="auto"/>
      <w:outlineLvl w:val="1"/>
    </w:pPr>
    <w:rPr>
      <w:rFonts w:eastAsia="Times New Roman"/>
      <w:b/>
      <w:bCs/>
      <w:sz w:val="36"/>
      <w:szCs w:val="36"/>
      <w:lang w:eastAsia="es-AR"/>
    </w:rPr>
  </w:style>
  <w:style w:type="paragraph" w:styleId="Ttulo3">
    <w:name w:val="heading 3"/>
    <w:basedOn w:val="Normal"/>
    <w:next w:val="Normal"/>
    <w:link w:val="Ttulo3Car"/>
    <w:uiPriority w:val="9"/>
    <w:unhideWhenUsed/>
    <w:qFormat/>
    <w:rsid w:val="006050C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050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0C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050C3"/>
    <w:rPr>
      <w:rFonts w:eastAsia="Times New Roman"/>
      <w:b/>
      <w:bCs/>
      <w:sz w:val="36"/>
      <w:szCs w:val="36"/>
      <w:lang w:eastAsia="es-AR"/>
    </w:rPr>
  </w:style>
  <w:style w:type="character" w:customStyle="1" w:styleId="Ttulo3Car">
    <w:name w:val="Título 3 Car"/>
    <w:basedOn w:val="Fuentedeprrafopredeter"/>
    <w:link w:val="Ttulo3"/>
    <w:uiPriority w:val="9"/>
    <w:rsid w:val="006050C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050C3"/>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6050C3"/>
    <w:rPr>
      <w:color w:val="0000FF"/>
      <w:u w:val="single"/>
    </w:rPr>
  </w:style>
  <w:style w:type="paragraph" w:customStyle="1" w:styleId="p">
    <w:name w:val="p"/>
    <w:basedOn w:val="Normal"/>
    <w:rsid w:val="006050C3"/>
    <w:pPr>
      <w:spacing w:before="100" w:beforeAutospacing="1" w:after="100" w:afterAutospacing="1" w:line="240" w:lineRule="auto"/>
    </w:pPr>
    <w:rPr>
      <w:rFonts w:eastAsia="Times New Roman"/>
      <w:szCs w:val="24"/>
      <w:lang w:eastAsia="es-AR"/>
    </w:rPr>
  </w:style>
  <w:style w:type="character" w:customStyle="1" w:styleId="element-citation">
    <w:name w:val="element-citation"/>
    <w:basedOn w:val="Fuentedeprrafopredeter"/>
    <w:rsid w:val="006050C3"/>
  </w:style>
  <w:style w:type="character" w:customStyle="1" w:styleId="ref-journal">
    <w:name w:val="ref-journal"/>
    <w:basedOn w:val="Fuentedeprrafopredeter"/>
    <w:rsid w:val="006050C3"/>
  </w:style>
  <w:style w:type="character" w:styleId="nfasis">
    <w:name w:val="Emphasis"/>
    <w:basedOn w:val="Fuentedeprrafopredeter"/>
    <w:uiPriority w:val="20"/>
    <w:qFormat/>
    <w:rsid w:val="006050C3"/>
    <w:rPr>
      <w:i/>
      <w:iCs/>
    </w:rPr>
  </w:style>
  <w:style w:type="character" w:customStyle="1" w:styleId="ref-vol">
    <w:name w:val="ref-vol"/>
    <w:basedOn w:val="Fuentedeprrafopredeter"/>
    <w:rsid w:val="006050C3"/>
  </w:style>
  <w:style w:type="character" w:customStyle="1" w:styleId="nowrap">
    <w:name w:val="nowrap"/>
    <w:basedOn w:val="Fuentedeprrafopredeter"/>
    <w:rsid w:val="006050C3"/>
  </w:style>
  <w:style w:type="character" w:styleId="Textoennegrita">
    <w:name w:val="Strong"/>
    <w:basedOn w:val="Fuentedeprrafopredeter"/>
    <w:uiPriority w:val="22"/>
    <w:qFormat/>
    <w:rsid w:val="006050C3"/>
    <w:rPr>
      <w:b/>
      <w:bCs/>
    </w:rPr>
  </w:style>
  <w:style w:type="character" w:customStyle="1" w:styleId="elsevierstylesup1">
    <w:name w:val="elsevierstylesup1"/>
    <w:basedOn w:val="Fuentedeprrafopredeter"/>
    <w:rsid w:val="006050C3"/>
    <w:rPr>
      <w:sz w:val="17"/>
      <w:szCs w:val="17"/>
      <w:vertAlign w:val="superscript"/>
    </w:rPr>
  </w:style>
  <w:style w:type="paragraph" w:styleId="Prrafodelista">
    <w:name w:val="List Paragraph"/>
    <w:basedOn w:val="Normal"/>
    <w:uiPriority w:val="34"/>
    <w:qFormat/>
    <w:rsid w:val="006050C3"/>
    <w:pPr>
      <w:ind w:left="720"/>
      <w:contextualSpacing/>
    </w:pPr>
  </w:style>
  <w:style w:type="character" w:customStyle="1" w:styleId="apple-converted-space">
    <w:name w:val="apple-converted-space"/>
    <w:basedOn w:val="Fuentedeprrafopredeter"/>
    <w:rsid w:val="006050C3"/>
  </w:style>
  <w:style w:type="paragraph" w:styleId="NormalWeb">
    <w:name w:val="Normal (Web)"/>
    <w:basedOn w:val="Normal"/>
    <w:uiPriority w:val="99"/>
    <w:unhideWhenUsed/>
    <w:rsid w:val="006050C3"/>
    <w:pPr>
      <w:spacing w:before="100" w:beforeAutospacing="1" w:after="100" w:afterAutospacing="1" w:line="240" w:lineRule="auto"/>
    </w:pPr>
    <w:rPr>
      <w:rFonts w:eastAsia="Times New Roman"/>
      <w:szCs w:val="24"/>
      <w:lang w:eastAsia="es-AR"/>
    </w:rPr>
  </w:style>
  <w:style w:type="paragraph" w:styleId="Textodeglobo">
    <w:name w:val="Balloon Text"/>
    <w:basedOn w:val="Normal"/>
    <w:link w:val="TextodegloboCar"/>
    <w:uiPriority w:val="99"/>
    <w:semiHidden/>
    <w:unhideWhenUsed/>
    <w:rsid w:val="00605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0C3"/>
    <w:rPr>
      <w:rFonts w:ascii="Tahoma" w:hAnsi="Tahoma" w:cs="Tahoma"/>
      <w:sz w:val="16"/>
      <w:szCs w:val="16"/>
    </w:rPr>
  </w:style>
  <w:style w:type="character" w:customStyle="1" w:styleId="elsevierstylesection">
    <w:name w:val="elsevierstylesection"/>
    <w:basedOn w:val="Fuentedeprrafopredeter"/>
    <w:rsid w:val="006050C3"/>
  </w:style>
  <w:style w:type="character" w:customStyle="1" w:styleId="elsevierstylesup">
    <w:name w:val="elsevierstylesup"/>
    <w:basedOn w:val="Fuentedeprrafopredeter"/>
    <w:rsid w:val="006050C3"/>
  </w:style>
  <w:style w:type="character" w:customStyle="1" w:styleId="cit">
    <w:name w:val="cit"/>
    <w:basedOn w:val="Fuentedeprrafopredeter"/>
    <w:rsid w:val="006050C3"/>
  </w:style>
  <w:style w:type="paragraph" w:styleId="Encabezado">
    <w:name w:val="header"/>
    <w:basedOn w:val="Normal"/>
    <w:link w:val="EncabezadoCar"/>
    <w:uiPriority w:val="99"/>
    <w:semiHidden/>
    <w:unhideWhenUsed/>
    <w:rsid w:val="006050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050C3"/>
  </w:style>
  <w:style w:type="paragraph" w:styleId="Piedepgina">
    <w:name w:val="footer"/>
    <w:basedOn w:val="Normal"/>
    <w:link w:val="PiedepginaCar"/>
    <w:uiPriority w:val="99"/>
    <w:unhideWhenUsed/>
    <w:rsid w:val="006050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50C3"/>
  </w:style>
  <w:style w:type="character" w:customStyle="1" w:styleId="elsevierstyleinf">
    <w:name w:val="elsevierstyleinf"/>
    <w:basedOn w:val="Fuentedeprrafopredeter"/>
    <w:rsid w:val="006050C3"/>
  </w:style>
  <w:style w:type="character" w:customStyle="1" w:styleId="elsevierstyleitalic">
    <w:name w:val="elsevierstyleitalic"/>
    <w:basedOn w:val="Fuentedeprrafopredeter"/>
    <w:rsid w:val="006050C3"/>
  </w:style>
  <w:style w:type="character" w:customStyle="1" w:styleId="citation">
    <w:name w:val="citation"/>
    <w:basedOn w:val="Fuentedeprrafopredeter"/>
    <w:rsid w:val="006050C3"/>
  </w:style>
  <w:style w:type="character" w:customStyle="1" w:styleId="nlm-given-names">
    <w:name w:val="nlm-given-names"/>
    <w:basedOn w:val="Fuentedeprrafopredeter"/>
    <w:rsid w:val="006050C3"/>
  </w:style>
  <w:style w:type="character" w:customStyle="1" w:styleId="nlm-surname">
    <w:name w:val="nlm-surname"/>
    <w:basedOn w:val="Fuentedeprrafopredeter"/>
    <w:rsid w:val="006050C3"/>
  </w:style>
  <w:style w:type="character" w:customStyle="1" w:styleId="elsevieritemreferenciahostrevistalink">
    <w:name w:val="elsevieritemreferenciahostrevistalink"/>
    <w:basedOn w:val="Fuentedeprrafopredeter"/>
    <w:rsid w:val="006050C3"/>
  </w:style>
  <w:style w:type="character" w:customStyle="1" w:styleId="elsevierstylesectiontitle">
    <w:name w:val="elsevierstylesectiontitle"/>
    <w:basedOn w:val="Fuentedeprrafopredeter"/>
    <w:rsid w:val="006050C3"/>
  </w:style>
  <w:style w:type="paragraph" w:customStyle="1" w:styleId="elsevierstylepara">
    <w:name w:val="elsevierstylepara"/>
    <w:basedOn w:val="Normal"/>
    <w:rsid w:val="006050C3"/>
    <w:pPr>
      <w:spacing w:before="100" w:beforeAutospacing="1" w:after="100" w:afterAutospacing="1" w:line="240" w:lineRule="auto"/>
    </w:pPr>
    <w:rPr>
      <w:rFonts w:eastAsia="Times New Roman"/>
      <w:color w:val="auto"/>
      <w:szCs w:val="24"/>
      <w:lang w:eastAsia="es-AR"/>
    </w:rPr>
  </w:style>
  <w:style w:type="character" w:customStyle="1" w:styleId="underline">
    <w:name w:val="underline"/>
    <w:basedOn w:val="Fuentedeprrafopredeter"/>
    <w:rsid w:val="006050C3"/>
  </w:style>
  <w:style w:type="character" w:customStyle="1" w:styleId="longtext1">
    <w:name w:val="long_text1"/>
    <w:basedOn w:val="Fuentedeprrafopredeter"/>
    <w:rsid w:val="006050C3"/>
    <w:rPr>
      <w:sz w:val="20"/>
      <w:szCs w:val="20"/>
    </w:rPr>
  </w:style>
  <w:style w:type="character" w:customStyle="1" w:styleId="highlight">
    <w:name w:val="highlight"/>
    <w:basedOn w:val="Fuentedeprrafopredeter"/>
    <w:rsid w:val="006050C3"/>
  </w:style>
  <w:style w:type="paragraph" w:styleId="Sinespaciado">
    <w:name w:val="No Spacing"/>
    <w:link w:val="SinespaciadoCar"/>
    <w:uiPriority w:val="1"/>
    <w:qFormat/>
    <w:rsid w:val="006050C3"/>
    <w:pPr>
      <w:spacing w:after="0" w:line="240" w:lineRule="auto"/>
    </w:pPr>
    <w:rPr>
      <w:rFonts w:asciiTheme="minorHAnsi" w:eastAsiaTheme="minorEastAsia" w:hAnsiTheme="minorHAnsi" w:cstheme="minorBidi"/>
      <w:color w:val="auto"/>
      <w:sz w:val="22"/>
      <w:szCs w:val="22"/>
      <w:lang w:val="es-ES"/>
    </w:rPr>
  </w:style>
  <w:style w:type="character" w:customStyle="1" w:styleId="SinespaciadoCar">
    <w:name w:val="Sin espaciado Car"/>
    <w:basedOn w:val="Fuentedeprrafopredeter"/>
    <w:link w:val="Sinespaciado"/>
    <w:uiPriority w:val="1"/>
    <w:rsid w:val="006050C3"/>
    <w:rPr>
      <w:rFonts w:asciiTheme="minorHAnsi" w:eastAsiaTheme="minorEastAsia" w:hAnsiTheme="minorHAnsi" w:cstheme="minorBidi"/>
      <w:color w:val="auto"/>
      <w:sz w:val="22"/>
      <w:szCs w:val="22"/>
      <w:lang w:val="es-ES"/>
    </w:rPr>
  </w:style>
  <w:style w:type="paragraph" w:styleId="TtuloTDC">
    <w:name w:val="TOC Heading"/>
    <w:basedOn w:val="Ttulo1"/>
    <w:next w:val="Normal"/>
    <w:uiPriority w:val="39"/>
    <w:unhideWhenUsed/>
    <w:qFormat/>
    <w:rsid w:val="006050C3"/>
    <w:pPr>
      <w:outlineLvl w:val="9"/>
    </w:pPr>
    <w:rPr>
      <w:lang w:val="es-ES"/>
    </w:rPr>
  </w:style>
  <w:style w:type="paragraph" w:styleId="TDC1">
    <w:name w:val="toc 1"/>
    <w:basedOn w:val="Normal"/>
    <w:next w:val="Normal"/>
    <w:autoRedefine/>
    <w:uiPriority w:val="39"/>
    <w:unhideWhenUsed/>
    <w:rsid w:val="006050C3"/>
    <w:pPr>
      <w:spacing w:after="100"/>
    </w:pPr>
  </w:style>
  <w:style w:type="paragraph" w:styleId="TDC2">
    <w:name w:val="toc 2"/>
    <w:basedOn w:val="Normal"/>
    <w:next w:val="Normal"/>
    <w:autoRedefine/>
    <w:uiPriority w:val="39"/>
    <w:unhideWhenUsed/>
    <w:rsid w:val="006050C3"/>
    <w:pPr>
      <w:spacing w:after="100"/>
      <w:ind w:left="240"/>
    </w:pPr>
  </w:style>
  <w:style w:type="paragraph" w:styleId="TDC3">
    <w:name w:val="toc 3"/>
    <w:basedOn w:val="Normal"/>
    <w:next w:val="Normal"/>
    <w:autoRedefine/>
    <w:uiPriority w:val="39"/>
    <w:unhideWhenUsed/>
    <w:rsid w:val="006050C3"/>
    <w:pPr>
      <w:spacing w:after="100"/>
      <w:ind w:left="480"/>
    </w:pPr>
  </w:style>
  <w:style w:type="paragraph" w:styleId="HTMLconformatoprevio">
    <w:name w:val="HTML Preformatted"/>
    <w:basedOn w:val="Normal"/>
    <w:link w:val="HTMLconformatoprevioCar"/>
    <w:uiPriority w:val="99"/>
    <w:semiHidden/>
    <w:unhideWhenUsed/>
    <w:rsid w:val="0037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conformatoprevioCar">
    <w:name w:val="HTML con formato previo Car"/>
    <w:basedOn w:val="Fuentedeprrafopredeter"/>
    <w:link w:val="HTMLconformatoprevio"/>
    <w:uiPriority w:val="99"/>
    <w:semiHidden/>
    <w:rsid w:val="00374C8F"/>
    <w:rPr>
      <w:rFonts w:ascii="Courier New" w:eastAsia="Times New Roman" w:hAnsi="Courier New" w:cs="Courier New"/>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Carson%20JL%5BAuthor%5D&amp;cauthor=true&amp;cauthor_uid=17176334" TargetMode="External"/><Relationship Id="rId18" Type="http://schemas.openxmlformats.org/officeDocument/2006/relationships/hyperlink" Target="http://www.ncbi.nlm.nih.gov/pubmed/?term=Hamm%20CW%5BAuthor%5D&amp;cauthor=true&amp;cauthor_uid=17569677" TargetMode="External"/><Relationship Id="rId26" Type="http://schemas.openxmlformats.org/officeDocument/2006/relationships/hyperlink" Target="http://www.ncbi.nlm.nih.gov/pubmed/?term=Barrett%20J%5BAuthor%5D&amp;cauthor=true&amp;cauthor_uid=15516391" TargetMode="External"/><Relationship Id="rId21" Type="http://schemas.openxmlformats.org/officeDocument/2006/relationships/hyperlink" Target="http://www.ncbi.nlm.nih.gov/pubmed/?term=Sauaia%20A%5BAuthor%5D&amp;cauthor=true&amp;cauthor_uid=7869433" TargetMode="External"/><Relationship Id="rId34" Type="http://schemas.openxmlformats.org/officeDocument/2006/relationships/hyperlink" Target="http://www.ncbi.nlm.nih.gov/pubmed/19686225" TargetMode="External"/><Relationship Id="rId7" Type="http://schemas.openxmlformats.org/officeDocument/2006/relationships/endnotes" Target="endnotes.xml"/><Relationship Id="rId12" Type="http://schemas.openxmlformats.org/officeDocument/2006/relationships/hyperlink" Target="http://www.ncbi.nlm.nih.gov/pubmed/?term=Intensive+Care+Medicine.1988%3B+14.+(6)%3A+640-645" TargetMode="External"/><Relationship Id="rId17" Type="http://schemas.openxmlformats.org/officeDocument/2006/relationships/hyperlink" Target="http://www.ncbi.nlm.nih.gov/pubmed/?term=Bassand%20JP%5BAuthor%5D&amp;cauthor=true&amp;cauthor_uid=17569677" TargetMode="External"/><Relationship Id="rId25" Type="http://schemas.openxmlformats.org/officeDocument/2006/relationships/hyperlink" Target="http://www.ncbi.nlm.nih.gov/pubmed/?term=Silverman%20JA%5BAuthor%5D&amp;cauthor=true&amp;cauthor_uid=15516391" TargetMode="External"/><Relationship Id="rId33" Type="http://schemas.openxmlformats.org/officeDocument/2006/relationships/hyperlink" Target="http://www.ncbi.nlm.nih.gov/pubmed/?term=Scherjon%20S%5BAuthor%5D&amp;cauthor=true&amp;cauthor_uid=19686225" TargetMode="External"/><Relationship Id="rId2" Type="http://schemas.openxmlformats.org/officeDocument/2006/relationships/numbering" Target="numbering.xml"/><Relationship Id="rId16" Type="http://schemas.openxmlformats.org/officeDocument/2006/relationships/hyperlink" Target="http://www.ncbi.nlm.nih.gov/pubmed/17176334" TargetMode="External"/><Relationship Id="rId20" Type="http://schemas.openxmlformats.org/officeDocument/2006/relationships/hyperlink" Target="http://ajcc.aacnjournals.org/content/16/1/39.short" TargetMode="External"/><Relationship Id="rId29" Type="http://schemas.openxmlformats.org/officeDocument/2006/relationships/hyperlink" Target="http://www.ncbi.nlm.nih.gov/pubmed/?term=So-Osman%20C%5BAuthor%5D&amp;cauthor=true&amp;cauthor_uid=19686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2513904" TargetMode="External"/><Relationship Id="rId24" Type="http://schemas.openxmlformats.org/officeDocument/2006/relationships/hyperlink" Target="http://www.ncbi.nlm.nih.gov/pubmed/7869433" TargetMode="External"/><Relationship Id="rId32" Type="http://schemas.openxmlformats.org/officeDocument/2006/relationships/hyperlink" Target="http://www.ncbi.nlm.nih.gov/pubmed/?term=Berning%20B%5BAuthor%5D&amp;cauthor=true&amp;cauthor_uid=1968622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Magaziner%20J%5BAuthor%5D&amp;cauthor=true&amp;cauthor_uid=17176334" TargetMode="External"/><Relationship Id="rId23" Type="http://schemas.openxmlformats.org/officeDocument/2006/relationships/hyperlink" Target="http://www.ncbi.nlm.nih.gov/pubmed/?term=Moore%20EE%5BAuthor%5D&amp;cauthor=true&amp;cauthor_uid=7869433" TargetMode="External"/><Relationship Id="rId28" Type="http://schemas.openxmlformats.org/officeDocument/2006/relationships/hyperlink" Target="http://www.ncbi.nlm.nih.gov/pubmed/15516391" TargetMode="External"/><Relationship Id="rId36" Type="http://schemas.openxmlformats.org/officeDocument/2006/relationships/fontTable" Target="fontTable.xml"/><Relationship Id="rId10" Type="http://schemas.openxmlformats.org/officeDocument/2006/relationships/hyperlink" Target="http://www.ncbi.nlm.nih.gov/pubmed/?term=Hebert%20PC%5BAuthor%5D&amp;cauthor=true&amp;cauthor_uid=22513904" TargetMode="External"/><Relationship Id="rId19" Type="http://schemas.openxmlformats.org/officeDocument/2006/relationships/hyperlink" Target="http://www.ncbi.nlm.nih.gov/pubmed/?term=Ardissino%20D%5BAuthor%5D&amp;cauthor=true&amp;cauthor_uid=17569677" TargetMode="External"/><Relationship Id="rId31" Type="http://schemas.openxmlformats.org/officeDocument/2006/relationships/hyperlink" Target="http://www.ncbi.nlm.nih.gov/pubmed/?term=Schipperus%20M%5BAuthor%5D&amp;cauthor=true&amp;cauthor_uid=19686225" TargetMode="External"/><Relationship Id="rId4" Type="http://schemas.openxmlformats.org/officeDocument/2006/relationships/settings" Target="settings.xml"/><Relationship Id="rId9" Type="http://schemas.openxmlformats.org/officeDocument/2006/relationships/hyperlink" Target="http://www.ncbi.nlm.nih.gov/pubmed/?term=Carless%20PA%5BAuthor%5D&amp;cauthor=true&amp;cauthor_uid=22513904" TargetMode="External"/><Relationship Id="rId14" Type="http://schemas.openxmlformats.org/officeDocument/2006/relationships/hyperlink" Target="http://www.ncbi.nlm.nih.gov/pubmed/?term=Terrin%20ML%5BAuthor%5D&amp;cauthor=true&amp;cauthor_uid=17176334" TargetMode="External"/><Relationship Id="rId22" Type="http://schemas.openxmlformats.org/officeDocument/2006/relationships/hyperlink" Target="http://www.ncbi.nlm.nih.gov/pubmed/?term=Moore%20FA%5BAuthor%5D&amp;cauthor=true&amp;cauthor_uid=7869433" TargetMode="External"/><Relationship Id="rId27" Type="http://schemas.openxmlformats.org/officeDocument/2006/relationships/hyperlink" Target="http://www.ncbi.nlm.nih.gov/pubmed/?term=Callum%20JL%5BAuthor%5D&amp;cauthor=true&amp;cauthor_uid=15516391" TargetMode="External"/><Relationship Id="rId30" Type="http://schemas.openxmlformats.org/officeDocument/2006/relationships/hyperlink" Target="http://www.ncbi.nlm.nih.gov/pubmed/?term=Cicilia%20J%5BAuthor%5D&amp;cauthor=true&amp;cauthor_uid=19686225" TargetMode="External"/><Relationship Id="rId35" Type="http://schemas.openxmlformats.org/officeDocument/2006/relationships/footer" Target="footer1.xml"/><Relationship Id="rId8" Type="http://schemas.openxmlformats.org/officeDocument/2006/relationships/hyperlink" Target="http://www.ncbi.nlm.nih.gov/pubmed/?term=Carson%20JL%5BAuthor%5D&amp;cauthor=true&amp;cauthor_uid=22513904"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D046D-6B9C-4843-9FD1-125FCD16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6592</Words>
  <Characters>36261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42768</CharactersWithSpaces>
  <SharedDoc>false</SharedDoc>
  <HLinks>
    <vt:vector size="162" baseType="variant">
      <vt:variant>
        <vt:i4>3342373</vt:i4>
      </vt:variant>
      <vt:variant>
        <vt:i4>78</vt:i4>
      </vt:variant>
      <vt:variant>
        <vt:i4>0</vt:i4>
      </vt:variant>
      <vt:variant>
        <vt:i4>5</vt:i4>
      </vt:variant>
      <vt:variant>
        <vt:lpwstr>http://www.ncbi.nlm.nih.gov/pubmed/19686225</vt:lpwstr>
      </vt:variant>
      <vt:variant>
        <vt:lpwstr/>
      </vt:variant>
      <vt:variant>
        <vt:i4>6357001</vt:i4>
      </vt:variant>
      <vt:variant>
        <vt:i4>75</vt:i4>
      </vt:variant>
      <vt:variant>
        <vt:i4>0</vt:i4>
      </vt:variant>
      <vt:variant>
        <vt:i4>5</vt:i4>
      </vt:variant>
      <vt:variant>
        <vt:lpwstr>http://www.ncbi.nlm.nih.gov/pubmed/?term=Scherjon%20S%5BAuthor%5D&amp;cauthor=true&amp;cauthor_uid=19686225</vt:lpwstr>
      </vt:variant>
      <vt:variant>
        <vt:lpwstr/>
      </vt:variant>
      <vt:variant>
        <vt:i4>1769512</vt:i4>
      </vt:variant>
      <vt:variant>
        <vt:i4>72</vt:i4>
      </vt:variant>
      <vt:variant>
        <vt:i4>0</vt:i4>
      </vt:variant>
      <vt:variant>
        <vt:i4>5</vt:i4>
      </vt:variant>
      <vt:variant>
        <vt:lpwstr>http://www.ncbi.nlm.nih.gov/pubmed/?term=Berning%20B%5BAuthor%5D&amp;cauthor=true&amp;cauthor_uid=19686225</vt:lpwstr>
      </vt:variant>
      <vt:variant>
        <vt:lpwstr/>
      </vt:variant>
      <vt:variant>
        <vt:i4>1835118</vt:i4>
      </vt:variant>
      <vt:variant>
        <vt:i4>69</vt:i4>
      </vt:variant>
      <vt:variant>
        <vt:i4>0</vt:i4>
      </vt:variant>
      <vt:variant>
        <vt:i4>5</vt:i4>
      </vt:variant>
      <vt:variant>
        <vt:lpwstr>http://www.ncbi.nlm.nih.gov/pubmed/?term=Schipperus%20M%5BAuthor%5D&amp;cauthor=true&amp;cauthor_uid=19686225</vt:lpwstr>
      </vt:variant>
      <vt:variant>
        <vt:lpwstr/>
      </vt:variant>
      <vt:variant>
        <vt:i4>36</vt:i4>
      </vt:variant>
      <vt:variant>
        <vt:i4>66</vt:i4>
      </vt:variant>
      <vt:variant>
        <vt:i4>0</vt:i4>
      </vt:variant>
      <vt:variant>
        <vt:i4>5</vt:i4>
      </vt:variant>
      <vt:variant>
        <vt:lpwstr>http://www.ncbi.nlm.nih.gov/pubmed/?term=Cicilia%20J%5BAuthor%5D&amp;cauthor=true&amp;cauthor_uid=19686225</vt:lpwstr>
      </vt:variant>
      <vt:variant>
        <vt:lpwstr/>
      </vt:variant>
      <vt:variant>
        <vt:i4>2818072</vt:i4>
      </vt:variant>
      <vt:variant>
        <vt:i4>63</vt:i4>
      </vt:variant>
      <vt:variant>
        <vt:i4>0</vt:i4>
      </vt:variant>
      <vt:variant>
        <vt:i4>5</vt:i4>
      </vt:variant>
      <vt:variant>
        <vt:lpwstr>http://www.ncbi.nlm.nih.gov/pubmed/?term=So-Osman%20C%5BAuthor%5D&amp;cauthor=true&amp;cauthor_uid=19686225</vt:lpwstr>
      </vt:variant>
      <vt:variant>
        <vt:lpwstr/>
      </vt:variant>
      <vt:variant>
        <vt:i4>3866657</vt:i4>
      </vt:variant>
      <vt:variant>
        <vt:i4>60</vt:i4>
      </vt:variant>
      <vt:variant>
        <vt:i4>0</vt:i4>
      </vt:variant>
      <vt:variant>
        <vt:i4>5</vt:i4>
      </vt:variant>
      <vt:variant>
        <vt:lpwstr>http://www.ncbi.nlm.nih.gov/pubmed/15516391</vt:lpwstr>
      </vt:variant>
      <vt:variant>
        <vt:lpwstr/>
      </vt:variant>
      <vt:variant>
        <vt:i4>5636200</vt:i4>
      </vt:variant>
      <vt:variant>
        <vt:i4>57</vt:i4>
      </vt:variant>
      <vt:variant>
        <vt:i4>0</vt:i4>
      </vt:variant>
      <vt:variant>
        <vt:i4>5</vt:i4>
      </vt:variant>
      <vt:variant>
        <vt:lpwstr>http://www.ncbi.nlm.nih.gov/pubmed/?term=Callum%20JL%5BAuthor%5D&amp;cauthor=true&amp;cauthor_uid=15516391</vt:lpwstr>
      </vt:variant>
      <vt:variant>
        <vt:lpwstr/>
      </vt:variant>
      <vt:variant>
        <vt:i4>786466</vt:i4>
      </vt:variant>
      <vt:variant>
        <vt:i4>54</vt:i4>
      </vt:variant>
      <vt:variant>
        <vt:i4>0</vt:i4>
      </vt:variant>
      <vt:variant>
        <vt:i4>5</vt:i4>
      </vt:variant>
      <vt:variant>
        <vt:lpwstr>http://www.ncbi.nlm.nih.gov/pubmed/?term=Barrett%20J%5BAuthor%5D&amp;cauthor=true&amp;cauthor_uid=15516391</vt:lpwstr>
      </vt:variant>
      <vt:variant>
        <vt:lpwstr/>
      </vt:variant>
      <vt:variant>
        <vt:i4>5963830</vt:i4>
      </vt:variant>
      <vt:variant>
        <vt:i4>51</vt:i4>
      </vt:variant>
      <vt:variant>
        <vt:i4>0</vt:i4>
      </vt:variant>
      <vt:variant>
        <vt:i4>5</vt:i4>
      </vt:variant>
      <vt:variant>
        <vt:lpwstr>http://www.ncbi.nlm.nih.gov/pubmed/?term=Silverman%20JA%5BAuthor%5D&amp;cauthor=true&amp;cauthor_uid=15516391</vt:lpwstr>
      </vt:variant>
      <vt:variant>
        <vt:lpwstr/>
      </vt:variant>
      <vt:variant>
        <vt:i4>3538980</vt:i4>
      </vt:variant>
      <vt:variant>
        <vt:i4>48</vt:i4>
      </vt:variant>
      <vt:variant>
        <vt:i4>0</vt:i4>
      </vt:variant>
      <vt:variant>
        <vt:i4>5</vt:i4>
      </vt:variant>
      <vt:variant>
        <vt:lpwstr>http://www.ncbi.nlm.nih.gov/pubmed/7869433</vt:lpwstr>
      </vt:variant>
      <vt:variant>
        <vt:lpwstr/>
      </vt:variant>
      <vt:variant>
        <vt:i4>4653094</vt:i4>
      </vt:variant>
      <vt:variant>
        <vt:i4>45</vt:i4>
      </vt:variant>
      <vt:variant>
        <vt:i4>0</vt:i4>
      </vt:variant>
      <vt:variant>
        <vt:i4>5</vt:i4>
      </vt:variant>
      <vt:variant>
        <vt:lpwstr>http://www.ncbi.nlm.nih.gov/pubmed/?term=Moore%20EE%5BAuthor%5D&amp;cauthor=true&amp;cauthor_uid=7869433</vt:lpwstr>
      </vt:variant>
      <vt:variant>
        <vt:lpwstr/>
      </vt:variant>
      <vt:variant>
        <vt:i4>4456482</vt:i4>
      </vt:variant>
      <vt:variant>
        <vt:i4>42</vt:i4>
      </vt:variant>
      <vt:variant>
        <vt:i4>0</vt:i4>
      </vt:variant>
      <vt:variant>
        <vt:i4>5</vt:i4>
      </vt:variant>
      <vt:variant>
        <vt:lpwstr>http://www.ncbi.nlm.nih.gov/pubmed/?term=Moore%20FA%5BAuthor%5D&amp;cauthor=true&amp;cauthor_uid=7869433</vt:lpwstr>
      </vt:variant>
      <vt:variant>
        <vt:lpwstr/>
      </vt:variant>
      <vt:variant>
        <vt:i4>852089</vt:i4>
      </vt:variant>
      <vt:variant>
        <vt:i4>39</vt:i4>
      </vt:variant>
      <vt:variant>
        <vt:i4>0</vt:i4>
      </vt:variant>
      <vt:variant>
        <vt:i4>5</vt:i4>
      </vt:variant>
      <vt:variant>
        <vt:lpwstr>http://www.ncbi.nlm.nih.gov/pubmed/?term=Sauaia%20A%5BAuthor%5D&amp;cauthor=true&amp;cauthor_uid=7869433</vt:lpwstr>
      </vt:variant>
      <vt:variant>
        <vt:lpwstr/>
      </vt:variant>
      <vt:variant>
        <vt:i4>7536694</vt:i4>
      </vt:variant>
      <vt:variant>
        <vt:i4>36</vt:i4>
      </vt:variant>
      <vt:variant>
        <vt:i4>0</vt:i4>
      </vt:variant>
      <vt:variant>
        <vt:i4>5</vt:i4>
      </vt:variant>
      <vt:variant>
        <vt:lpwstr>http://ajcc.aacnjournals.org/content/16/1/39.short</vt:lpwstr>
      </vt:variant>
      <vt:variant>
        <vt:lpwstr/>
      </vt:variant>
      <vt:variant>
        <vt:i4>7667778</vt:i4>
      </vt:variant>
      <vt:variant>
        <vt:i4>33</vt:i4>
      </vt:variant>
      <vt:variant>
        <vt:i4>0</vt:i4>
      </vt:variant>
      <vt:variant>
        <vt:i4>5</vt:i4>
      </vt:variant>
      <vt:variant>
        <vt:lpwstr>http://www.ncbi.nlm.nih.gov/pubmed/?term=Ardissino%20D%5BAuthor%5D&amp;cauthor=true&amp;cauthor_uid=17569677</vt:lpwstr>
      </vt:variant>
      <vt:variant>
        <vt:lpwstr/>
      </vt:variant>
      <vt:variant>
        <vt:i4>3407884</vt:i4>
      </vt:variant>
      <vt:variant>
        <vt:i4>30</vt:i4>
      </vt:variant>
      <vt:variant>
        <vt:i4>0</vt:i4>
      </vt:variant>
      <vt:variant>
        <vt:i4>5</vt:i4>
      </vt:variant>
      <vt:variant>
        <vt:lpwstr>http://www.ncbi.nlm.nih.gov/pubmed/?term=Hamm%20CW%5BAuthor%5D&amp;cauthor=true&amp;cauthor_uid=17569677</vt:lpwstr>
      </vt:variant>
      <vt:variant>
        <vt:lpwstr/>
      </vt:variant>
      <vt:variant>
        <vt:i4>3604567</vt:i4>
      </vt:variant>
      <vt:variant>
        <vt:i4>27</vt:i4>
      </vt:variant>
      <vt:variant>
        <vt:i4>0</vt:i4>
      </vt:variant>
      <vt:variant>
        <vt:i4>5</vt:i4>
      </vt:variant>
      <vt:variant>
        <vt:lpwstr>http://www.ncbi.nlm.nih.gov/pubmed/?term=Bassand%20JP%5BAuthor%5D&amp;cauthor=true&amp;cauthor_uid=17569677</vt:lpwstr>
      </vt:variant>
      <vt:variant>
        <vt:lpwstr/>
      </vt:variant>
      <vt:variant>
        <vt:i4>3473445</vt:i4>
      </vt:variant>
      <vt:variant>
        <vt:i4>24</vt:i4>
      </vt:variant>
      <vt:variant>
        <vt:i4>0</vt:i4>
      </vt:variant>
      <vt:variant>
        <vt:i4>5</vt:i4>
      </vt:variant>
      <vt:variant>
        <vt:lpwstr>http://www.ncbi.nlm.nih.gov/pubmed/17176334</vt:lpwstr>
      </vt:variant>
      <vt:variant>
        <vt:lpwstr/>
      </vt:variant>
      <vt:variant>
        <vt:i4>6291527</vt:i4>
      </vt:variant>
      <vt:variant>
        <vt:i4>21</vt:i4>
      </vt:variant>
      <vt:variant>
        <vt:i4>0</vt:i4>
      </vt:variant>
      <vt:variant>
        <vt:i4>5</vt:i4>
      </vt:variant>
      <vt:variant>
        <vt:lpwstr>http://www.ncbi.nlm.nih.gov/pubmed/?term=Magaziner%20J%5BAuthor%5D&amp;cauthor=true&amp;cauthor_uid=17176334</vt:lpwstr>
      </vt:variant>
      <vt:variant>
        <vt:lpwstr/>
      </vt:variant>
      <vt:variant>
        <vt:i4>4325496</vt:i4>
      </vt:variant>
      <vt:variant>
        <vt:i4>18</vt:i4>
      </vt:variant>
      <vt:variant>
        <vt:i4>0</vt:i4>
      </vt:variant>
      <vt:variant>
        <vt:i4>5</vt:i4>
      </vt:variant>
      <vt:variant>
        <vt:lpwstr>http://www.ncbi.nlm.nih.gov/pubmed/?term=Terrin%20ML%5BAuthor%5D&amp;cauthor=true&amp;cauthor_uid=17176334</vt:lpwstr>
      </vt:variant>
      <vt:variant>
        <vt:lpwstr/>
      </vt:variant>
      <vt:variant>
        <vt:i4>5439610</vt:i4>
      </vt:variant>
      <vt:variant>
        <vt:i4>15</vt:i4>
      </vt:variant>
      <vt:variant>
        <vt:i4>0</vt:i4>
      </vt:variant>
      <vt:variant>
        <vt:i4>5</vt:i4>
      </vt:variant>
      <vt:variant>
        <vt:lpwstr>http://www.ncbi.nlm.nih.gov/pubmed/?term=Carson%20JL%5BAuthor%5D&amp;cauthor=true&amp;cauthor_uid=17176334</vt:lpwstr>
      </vt:variant>
      <vt:variant>
        <vt:lpwstr/>
      </vt:variant>
      <vt:variant>
        <vt:i4>2556002</vt:i4>
      </vt:variant>
      <vt:variant>
        <vt:i4>12</vt:i4>
      </vt:variant>
      <vt:variant>
        <vt:i4>0</vt:i4>
      </vt:variant>
      <vt:variant>
        <vt:i4>5</vt:i4>
      </vt:variant>
      <vt:variant>
        <vt:lpwstr>http://www.ncbi.nlm.nih.gov/pubmed/?term=Intensive+Care+Medicine.1988%3B+14.+(6)%3A+640-645</vt:lpwstr>
      </vt:variant>
      <vt:variant>
        <vt:lpwstr/>
      </vt:variant>
      <vt:variant>
        <vt:i4>3407916</vt:i4>
      </vt:variant>
      <vt:variant>
        <vt:i4>9</vt:i4>
      </vt:variant>
      <vt:variant>
        <vt:i4>0</vt:i4>
      </vt:variant>
      <vt:variant>
        <vt:i4>5</vt:i4>
      </vt:variant>
      <vt:variant>
        <vt:lpwstr>http://www.ncbi.nlm.nih.gov/pubmed/22513904</vt:lpwstr>
      </vt:variant>
      <vt:variant>
        <vt:lpwstr/>
      </vt:variant>
      <vt:variant>
        <vt:i4>5439593</vt:i4>
      </vt:variant>
      <vt:variant>
        <vt:i4>6</vt:i4>
      </vt:variant>
      <vt:variant>
        <vt:i4>0</vt:i4>
      </vt:variant>
      <vt:variant>
        <vt:i4>5</vt:i4>
      </vt:variant>
      <vt:variant>
        <vt:lpwstr>http://www.ncbi.nlm.nih.gov/pubmed/?term=Hebert%20PC%5BAuthor%5D&amp;cauthor=true&amp;cauthor_uid=22513904</vt:lpwstr>
      </vt:variant>
      <vt:variant>
        <vt:lpwstr/>
      </vt:variant>
      <vt:variant>
        <vt:i4>3145801</vt:i4>
      </vt:variant>
      <vt:variant>
        <vt:i4>3</vt:i4>
      </vt:variant>
      <vt:variant>
        <vt:i4>0</vt:i4>
      </vt:variant>
      <vt:variant>
        <vt:i4>5</vt:i4>
      </vt:variant>
      <vt:variant>
        <vt:lpwstr>http://www.ncbi.nlm.nih.gov/pubmed/?term=Carless%20PA%5BAuthor%5D&amp;cauthor=true&amp;cauthor_uid=22513904</vt:lpwstr>
      </vt:variant>
      <vt:variant>
        <vt:lpwstr/>
      </vt:variant>
      <vt:variant>
        <vt:i4>5898363</vt:i4>
      </vt:variant>
      <vt:variant>
        <vt:i4>0</vt:i4>
      </vt:variant>
      <vt:variant>
        <vt:i4>0</vt:i4>
      </vt:variant>
      <vt:variant>
        <vt:i4>5</vt:i4>
      </vt:variant>
      <vt:variant>
        <vt:lpwstr>http://www.ncbi.nlm.nih.gov/pubmed/?term=Carson%20JL%5BAuthor%5D&amp;cauthor=true&amp;cauthor_uid=22513904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ceferino</dc:creator>
  <cp:lastModifiedBy>ladislao diaz ballve</cp:lastModifiedBy>
  <cp:revision>2</cp:revision>
  <dcterms:created xsi:type="dcterms:W3CDTF">2017-08-20T19:36:00Z</dcterms:created>
  <dcterms:modified xsi:type="dcterms:W3CDTF">2017-08-20T19:36:00Z</dcterms:modified>
</cp:coreProperties>
</file>